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s="Times New Roman" w:eastAsiaTheme="minorEastAsia"/>
          <w:color w:val="000000"/>
          <w:sz w:val="28"/>
        </w:rPr>
      </w:pPr>
      <w:r>
        <w:rPr>
          <w:rFonts w:ascii="Times New Roman" w:hAnsi="Times New Roman" w:cs="Times New Roman" w:eastAsiaTheme="minorEastAsia"/>
          <w:color w:val="000000"/>
          <w:sz w:val="28"/>
        </w:rPr>
        <w:t xml:space="preserve"> </w:t>
      </w:r>
    </w:p>
    <w:p>
      <w:pPr>
        <w:spacing w:line="360" w:lineRule="auto"/>
        <w:rPr>
          <w:rFonts w:ascii="Times New Roman" w:hAnsi="Times New Roman" w:cs="Times New Roman" w:eastAsiaTheme="minorEastAsia"/>
          <w:b/>
          <w:bCs/>
          <w:color w:val="000000"/>
          <w:sz w:val="48"/>
          <w:szCs w:val="48"/>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Times New Roman" w:hAnsi="Times New Roman" w:cs="Times New Roman" w:eastAsiaTheme="minorEastAsia"/>
          <w:b/>
          <w:bCs/>
          <w:color w:val="000000"/>
          <w:sz w:val="48"/>
          <w:szCs w:val="48"/>
        </w:rPr>
      </w:pPr>
      <w:r>
        <w:rPr>
          <w:rFonts w:hint="eastAsia" w:ascii="Times New Roman" w:hAnsi="Times New Roman" w:cs="Times New Roman" w:eastAsiaTheme="minorEastAsia"/>
          <w:b/>
          <w:bCs/>
          <w:color w:val="000000"/>
          <w:sz w:val="48"/>
          <w:szCs w:val="48"/>
        </w:rPr>
        <w:t>保定绿源环保服务有限公司扩建机动车维修拆解行业危险废物收集存储项目</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Times New Roman" w:hAnsi="Times New Roman" w:cs="Times New Roman" w:eastAsiaTheme="minorEastAsia"/>
          <w:b/>
          <w:bCs/>
          <w:color w:val="000000"/>
          <w:sz w:val="48"/>
          <w:szCs w:val="48"/>
        </w:rPr>
      </w:pPr>
      <w:r>
        <w:rPr>
          <w:rFonts w:ascii="Times New Roman" w:hAnsi="Times New Roman" w:cs="Times New Roman" w:eastAsiaTheme="minorEastAsia"/>
          <w:b/>
          <w:bCs/>
          <w:color w:val="000000"/>
          <w:sz w:val="48"/>
          <w:szCs w:val="48"/>
        </w:rPr>
        <w:t>竣工环境保护验收监测报告表</w:t>
      </w:r>
    </w:p>
    <w:p>
      <w:pPr>
        <w:jc w:val="center"/>
        <w:rPr>
          <w:rFonts w:ascii="Times New Roman" w:hAnsi="Times New Roman" w:cs="Times New Roman" w:eastAsiaTheme="minorEastAsia"/>
          <w:color w:val="000000"/>
          <w:sz w:val="28"/>
        </w:rPr>
      </w:pPr>
    </w:p>
    <w:p>
      <w:pPr>
        <w:jc w:val="center"/>
        <w:rPr>
          <w:rFonts w:ascii="Times New Roman" w:hAnsi="Times New Roman" w:cs="Times New Roman" w:eastAsiaTheme="minorEastAsia"/>
          <w:color w:val="000000"/>
          <w:sz w:val="28"/>
        </w:rPr>
      </w:pPr>
    </w:p>
    <w:p>
      <w:pPr>
        <w:jc w:val="center"/>
        <w:rPr>
          <w:rFonts w:ascii="Times New Roman" w:hAnsi="Times New Roman" w:cs="Times New Roman" w:eastAsiaTheme="minorEastAsia"/>
          <w:color w:val="000000"/>
          <w:sz w:val="28"/>
        </w:rPr>
      </w:pPr>
    </w:p>
    <w:p>
      <w:pPr>
        <w:jc w:val="center"/>
        <w:rPr>
          <w:rFonts w:ascii="Times New Roman" w:hAnsi="Times New Roman" w:cs="Times New Roman" w:eastAsiaTheme="minorEastAsia"/>
          <w:color w:val="000000"/>
          <w:sz w:val="28"/>
        </w:rPr>
      </w:pPr>
    </w:p>
    <w:p>
      <w:pPr>
        <w:jc w:val="center"/>
        <w:rPr>
          <w:rFonts w:ascii="Times New Roman" w:hAnsi="Times New Roman" w:cs="Times New Roman" w:eastAsiaTheme="minorEastAsia"/>
          <w:color w:val="000000"/>
          <w:sz w:val="28"/>
        </w:rPr>
      </w:pPr>
    </w:p>
    <w:p>
      <w:pPr>
        <w:rPr>
          <w:rFonts w:ascii="Times New Roman" w:hAnsi="Times New Roman" w:cs="Times New Roman" w:eastAsiaTheme="minorEastAsia"/>
          <w:color w:val="000000"/>
          <w:sz w:val="28"/>
          <w:szCs w:val="28"/>
        </w:rPr>
      </w:pPr>
    </w:p>
    <w:p>
      <w:pPr>
        <w:rPr>
          <w:rFonts w:ascii="Times New Roman" w:hAnsi="Times New Roman" w:cs="Times New Roman" w:eastAsiaTheme="minorEastAsia"/>
          <w:color w:val="000000"/>
          <w:sz w:val="28"/>
          <w:szCs w:val="28"/>
        </w:rPr>
      </w:pPr>
    </w:p>
    <w:p>
      <w:pPr>
        <w:rPr>
          <w:rFonts w:ascii="Times New Roman" w:hAnsi="Times New Roman" w:cs="Times New Roman" w:eastAsiaTheme="minorEastAsia"/>
          <w:color w:val="000000"/>
          <w:sz w:val="28"/>
          <w:szCs w:val="28"/>
        </w:rPr>
      </w:pPr>
    </w:p>
    <w:p>
      <w:pPr>
        <w:rPr>
          <w:rFonts w:ascii="Times New Roman" w:hAnsi="Times New Roman" w:cs="Times New Roman" w:eastAsiaTheme="minorEastAsia"/>
          <w:color w:val="000000"/>
          <w:sz w:val="28"/>
          <w:szCs w:val="28"/>
        </w:rPr>
      </w:pPr>
    </w:p>
    <w:p>
      <w:pPr>
        <w:ind w:firstLine="1997" w:firstLineChars="650"/>
        <w:rPr>
          <w:rFonts w:hint="eastAsia" w:ascii="Times New Roman" w:hAnsi="宋体" w:eastAsia="宋体" w:cs="Times New Roman"/>
          <w:b/>
          <w:spacing w:val="3"/>
          <w:sz w:val="30"/>
          <w:szCs w:val="30"/>
        </w:rPr>
      </w:pPr>
      <w:r>
        <w:rPr>
          <w:rFonts w:hint="eastAsia" w:ascii="Times New Roman" w:hAnsi="宋体" w:eastAsia="宋体" w:cs="Times New Roman"/>
          <w:b/>
          <w:spacing w:val="3"/>
          <w:sz w:val="30"/>
          <w:szCs w:val="30"/>
        </w:rPr>
        <w:t>建设单位：保定绿源环保服务有限公司</w:t>
      </w:r>
    </w:p>
    <w:p>
      <w:pPr>
        <w:ind w:firstLine="1958" w:firstLineChars="650"/>
        <w:rPr>
          <w:rFonts w:hint="eastAsia" w:ascii="Times New Roman" w:cs="Times New Roman" w:hAnsiTheme="minorEastAsia" w:eastAsiaTheme="minorEastAsia"/>
          <w:b/>
          <w:spacing w:val="3"/>
          <w:sz w:val="30"/>
          <w:szCs w:val="30"/>
          <w:lang w:eastAsia="zh-CN"/>
        </w:rPr>
      </w:pPr>
      <w:r>
        <w:rPr>
          <w:rFonts w:ascii="Times New Roman" w:cs="Times New Roman" w:hAnsiTheme="minorEastAsia" w:eastAsiaTheme="minorEastAsia"/>
          <w:b/>
          <w:color w:val="000000"/>
          <w:sz w:val="30"/>
          <w:szCs w:val="30"/>
        </w:rPr>
        <w:t>编制单位</w:t>
      </w:r>
      <w:r>
        <w:rPr>
          <w:rFonts w:ascii="Times New Roman" w:cs="Times New Roman" w:hAnsiTheme="minorEastAsia" w:eastAsiaTheme="minorEastAsia"/>
          <w:b/>
          <w:spacing w:val="3"/>
          <w:sz w:val="30"/>
          <w:szCs w:val="30"/>
        </w:rPr>
        <w:t>：</w:t>
      </w:r>
      <w:r>
        <w:rPr>
          <w:rFonts w:hint="eastAsia" w:ascii="Times New Roman" w:cs="Times New Roman" w:hAnsiTheme="minorEastAsia" w:eastAsiaTheme="minorEastAsia"/>
          <w:b/>
          <w:spacing w:val="3"/>
          <w:sz w:val="30"/>
          <w:szCs w:val="30"/>
          <w:lang w:val="en-US" w:eastAsia="zh-CN"/>
        </w:rPr>
        <w:t>河北新环检测集团有限公司</w:t>
      </w:r>
    </w:p>
    <w:p>
      <w:pPr>
        <w:ind w:firstLine="1958" w:firstLineChars="650"/>
        <w:rPr>
          <w:rFonts w:ascii="Times New Roman" w:hAnsi="Times New Roman" w:cs="Times New Roman" w:eastAsiaTheme="minorEastAsia"/>
          <w:b/>
          <w:color w:val="000000"/>
          <w:sz w:val="30"/>
          <w:szCs w:val="30"/>
        </w:rPr>
      </w:pPr>
    </w:p>
    <w:p>
      <w:pPr>
        <w:pStyle w:val="5"/>
      </w:pPr>
    </w:p>
    <w:p>
      <w:pPr>
        <w:rPr>
          <w:rFonts w:ascii="Times New Roman" w:hAnsi="Times New Roman" w:cs="Times New Roman" w:eastAsiaTheme="minorEastAsia"/>
          <w:color w:val="000000"/>
          <w:sz w:val="28"/>
        </w:rPr>
      </w:pPr>
    </w:p>
    <w:p>
      <w:pPr>
        <w:rPr>
          <w:rFonts w:ascii="Times New Roman" w:hAnsi="Times New Roman" w:cs="Times New Roman" w:eastAsiaTheme="minorEastAsia"/>
          <w:color w:val="000000"/>
          <w:sz w:val="28"/>
          <w:szCs w:val="28"/>
        </w:rPr>
      </w:pPr>
    </w:p>
    <w:p>
      <w:pPr>
        <w:jc w:val="center"/>
        <w:rPr>
          <w:rFonts w:ascii="Times New Roman" w:hAnsi="Times New Roman" w:cs="Times New Roman" w:eastAsiaTheme="minorEastAsia"/>
          <w:b/>
          <w:color w:val="000000"/>
          <w:sz w:val="30"/>
          <w:szCs w:val="30"/>
        </w:rPr>
      </w:pPr>
      <w:r>
        <w:rPr>
          <w:rFonts w:ascii="Times New Roman" w:hAnsi="Times New Roman" w:cs="Times New Roman" w:eastAsiaTheme="minorEastAsia"/>
          <w:b/>
          <w:color w:val="000000"/>
          <w:sz w:val="30"/>
          <w:szCs w:val="30"/>
        </w:rPr>
        <w:t>202</w:t>
      </w:r>
      <w:r>
        <w:rPr>
          <w:rFonts w:hint="eastAsia" w:ascii="Times New Roman" w:hAnsi="Times New Roman" w:cs="Times New Roman" w:eastAsiaTheme="minorEastAsia"/>
          <w:b/>
          <w:color w:val="000000"/>
          <w:sz w:val="30"/>
          <w:szCs w:val="30"/>
          <w:lang w:val="en-US" w:eastAsia="zh-CN"/>
        </w:rPr>
        <w:t>1</w:t>
      </w:r>
      <w:r>
        <w:rPr>
          <w:rFonts w:ascii="Times New Roman" w:cs="Times New Roman" w:hAnsiTheme="minorEastAsia" w:eastAsiaTheme="minorEastAsia"/>
          <w:b/>
          <w:color w:val="000000"/>
          <w:sz w:val="30"/>
          <w:szCs w:val="30"/>
        </w:rPr>
        <w:t>年</w:t>
      </w:r>
      <w:r>
        <w:rPr>
          <w:rFonts w:hint="eastAsia" w:ascii="Times New Roman" w:hAnsi="Times New Roman" w:cs="Times New Roman" w:eastAsiaTheme="minorEastAsia"/>
          <w:b/>
          <w:color w:val="000000"/>
          <w:sz w:val="30"/>
          <w:szCs w:val="30"/>
          <w:lang w:val="en-US" w:eastAsia="zh-CN"/>
        </w:rPr>
        <w:t>06</w:t>
      </w:r>
      <w:r>
        <w:rPr>
          <w:rFonts w:ascii="Times New Roman" w:cs="Times New Roman" w:hAnsiTheme="minorEastAsia" w:eastAsiaTheme="minorEastAsia"/>
          <w:b/>
          <w:color w:val="000000"/>
          <w:sz w:val="30"/>
          <w:szCs w:val="30"/>
        </w:rPr>
        <w:t>月</w:t>
      </w:r>
    </w:p>
    <w:p>
      <w:pPr>
        <w:keepNext w:val="0"/>
        <w:keepLines w:val="0"/>
        <w:pageBreakBefore w:val="0"/>
        <w:widowControl/>
        <w:kinsoku/>
        <w:wordWrap/>
        <w:overflowPunct/>
        <w:topLinePunct w:val="0"/>
        <w:autoSpaceDE/>
        <w:autoSpaceDN/>
        <w:bidi w:val="0"/>
        <w:adjustRightInd/>
        <w:snapToGrid/>
        <w:spacing w:after="0" w:line="480" w:lineRule="auto"/>
        <w:ind w:firstLine="640" w:firstLineChars="200"/>
        <w:textAlignment w:val="auto"/>
        <w:rPr>
          <w:rFonts w:ascii="Times New Roman" w:hAnsi="Times New Roman" w:cs="Times New Roman" w:eastAsiaTheme="minorEastAsia"/>
          <w:color w:val="000000"/>
          <w:sz w:val="32"/>
        </w:rPr>
      </w:pPr>
      <w:r>
        <w:rPr>
          <w:rFonts w:ascii="Times New Roman" w:hAnsi="Times New Roman" w:cs="Times New Roman" w:eastAsiaTheme="minorEastAsia"/>
          <w:color w:val="000000"/>
          <w:sz w:val="32"/>
        </w:rPr>
        <w:br w:type="page"/>
      </w:r>
    </w:p>
    <w:p>
      <w:pPr>
        <w:spacing w:line="360" w:lineRule="auto"/>
        <w:ind w:firstLine="0" w:firstLineChars="0"/>
        <w:jc w:val="left"/>
        <w:rPr>
          <w:rFonts w:hint="eastAsia" w:eastAsiaTheme="minorEastAsia"/>
          <w:b/>
          <w:sz w:val="28"/>
          <w:lang w:eastAsia="zh-CN"/>
        </w:rPr>
      </w:pPr>
      <w:r>
        <w:rPr>
          <w:rFonts w:eastAsiaTheme="minorEastAsia"/>
          <w:b/>
          <w:spacing w:val="34"/>
          <w:sz w:val="28"/>
        </w:rPr>
        <w:t>建设单位法人代表</w:t>
      </w:r>
      <w:r>
        <w:rPr>
          <w:rFonts w:eastAsiaTheme="minorEastAsia"/>
          <w:b/>
          <w:sz w:val="28"/>
        </w:rPr>
        <w:t>：</w:t>
      </w:r>
      <w:r>
        <w:rPr>
          <w:rFonts w:hint="eastAsia" w:eastAsiaTheme="minorEastAsia"/>
          <w:b/>
          <w:sz w:val="28"/>
          <w:lang w:val="en-US" w:eastAsia="zh-CN"/>
        </w:rPr>
        <w:t>鲁伟明</w:t>
      </w:r>
    </w:p>
    <w:p>
      <w:pPr>
        <w:spacing w:line="360" w:lineRule="auto"/>
        <w:ind w:firstLine="0" w:firstLineChars="0"/>
        <w:jc w:val="left"/>
        <w:rPr>
          <w:rFonts w:hint="eastAsia" w:eastAsiaTheme="minorEastAsia"/>
          <w:b/>
          <w:sz w:val="28"/>
          <w:lang w:eastAsia="zh-CN"/>
        </w:rPr>
      </w:pPr>
      <w:r>
        <w:rPr>
          <w:rFonts w:eastAsiaTheme="minorEastAsia"/>
          <w:b/>
          <w:spacing w:val="34"/>
          <w:sz w:val="28"/>
        </w:rPr>
        <w:t>编制单位法人代表</w:t>
      </w:r>
      <w:r>
        <w:rPr>
          <w:rFonts w:eastAsiaTheme="minorEastAsia"/>
          <w:b/>
          <w:sz w:val="28"/>
        </w:rPr>
        <w:t>：</w:t>
      </w:r>
      <w:r>
        <w:rPr>
          <w:rFonts w:hint="eastAsia" w:eastAsiaTheme="minorEastAsia"/>
          <w:b/>
          <w:sz w:val="28"/>
          <w:lang w:val="en-US" w:eastAsia="zh-CN"/>
        </w:rPr>
        <w:t>高文娜</w:t>
      </w:r>
    </w:p>
    <w:p>
      <w:pPr>
        <w:spacing w:line="360" w:lineRule="auto"/>
        <w:ind w:firstLine="0" w:firstLineChars="0"/>
        <w:jc w:val="left"/>
        <w:rPr>
          <w:rFonts w:eastAsiaTheme="minorEastAsia"/>
          <w:b/>
          <w:sz w:val="28"/>
        </w:rPr>
      </w:pPr>
      <w:r>
        <w:rPr>
          <w:rFonts w:eastAsiaTheme="minorEastAsia"/>
          <w:b/>
          <w:spacing w:val="142"/>
          <w:sz w:val="28"/>
        </w:rPr>
        <w:t>项目负责人</w:t>
      </w:r>
      <w:r>
        <w:rPr>
          <w:rFonts w:eastAsiaTheme="minorEastAsia"/>
          <w:b/>
          <w:sz w:val="28"/>
        </w:rPr>
        <w:t>：</w:t>
      </w:r>
    </w:p>
    <w:p>
      <w:pPr>
        <w:spacing w:line="360" w:lineRule="auto"/>
        <w:ind w:firstLine="0" w:firstLineChars="0"/>
        <w:jc w:val="left"/>
        <w:rPr>
          <w:rFonts w:eastAsiaTheme="minorEastAsia"/>
          <w:b/>
          <w:spacing w:val="22"/>
          <w:sz w:val="28"/>
          <w:szCs w:val="28"/>
        </w:rPr>
      </w:pPr>
      <w:r>
        <w:rPr>
          <w:rFonts w:eastAsiaTheme="minorEastAsia"/>
          <w:b/>
          <w:spacing w:val="142"/>
          <w:sz w:val="28"/>
        </w:rPr>
        <w:t>报告编写人</w:t>
      </w:r>
      <w:r>
        <w:rPr>
          <w:rFonts w:eastAsiaTheme="minorEastAsia"/>
          <w:b/>
          <w:sz w:val="28"/>
        </w:rPr>
        <w:t>：</w:t>
      </w:r>
    </w:p>
    <w:p>
      <w:pPr>
        <w:spacing w:line="360" w:lineRule="auto"/>
        <w:ind w:left="0" w:leftChars="0" w:firstLine="439" w:firstLineChars="157"/>
        <w:rPr>
          <w:rFonts w:ascii="Times New Roman" w:hAnsi="Times New Roman" w:cs="Times New Roman" w:eastAsiaTheme="minorEastAsia"/>
          <w:color w:val="000000"/>
          <w:sz w:val="28"/>
        </w:rPr>
      </w:pPr>
    </w:p>
    <w:p>
      <w:pPr>
        <w:tabs>
          <w:tab w:val="left" w:pos="984"/>
        </w:tabs>
        <w:spacing w:line="360" w:lineRule="auto"/>
        <w:rPr>
          <w:rFonts w:ascii="Times New Roman" w:hAnsi="Times New Roman" w:cs="Times New Roman" w:eastAsiaTheme="minorEastAsia"/>
          <w:color w:val="000000"/>
          <w:sz w:val="28"/>
        </w:rPr>
      </w:pPr>
    </w:p>
    <w:p>
      <w:pPr>
        <w:tabs>
          <w:tab w:val="left" w:pos="984"/>
        </w:tabs>
        <w:spacing w:line="360" w:lineRule="auto"/>
        <w:rPr>
          <w:rFonts w:ascii="Times New Roman" w:hAnsi="Times New Roman" w:cs="Times New Roman" w:eastAsiaTheme="minorEastAsia"/>
          <w:color w:val="000000"/>
          <w:sz w:val="28"/>
        </w:rPr>
      </w:pPr>
    </w:p>
    <w:p>
      <w:pPr>
        <w:spacing w:line="360" w:lineRule="auto"/>
        <w:rPr>
          <w:rFonts w:ascii="Times New Roman" w:hAnsi="Times New Roman" w:cs="Times New Roman" w:eastAsiaTheme="minorEastAsia"/>
          <w:color w:val="000000"/>
          <w:sz w:val="28"/>
        </w:rPr>
      </w:pPr>
    </w:p>
    <w:p>
      <w:pPr>
        <w:spacing w:line="360" w:lineRule="auto"/>
        <w:rPr>
          <w:rFonts w:ascii="Times New Roman" w:hAnsi="Times New Roman" w:cs="Times New Roman" w:eastAsiaTheme="minorEastAsia"/>
          <w:color w:val="000000"/>
          <w:sz w:val="28"/>
        </w:rPr>
      </w:pPr>
    </w:p>
    <w:p>
      <w:pPr>
        <w:spacing w:line="360" w:lineRule="auto"/>
        <w:rPr>
          <w:rFonts w:ascii="Times New Roman" w:hAnsi="Times New Roman" w:cs="Times New Roman" w:eastAsiaTheme="minorEastAsia"/>
          <w:color w:val="000000"/>
          <w:sz w:val="28"/>
        </w:rPr>
      </w:pPr>
    </w:p>
    <w:p>
      <w:pPr>
        <w:spacing w:line="360" w:lineRule="auto"/>
        <w:rPr>
          <w:rFonts w:ascii="Times New Roman" w:hAnsi="Times New Roman" w:cs="Times New Roman" w:eastAsiaTheme="minorEastAsia"/>
          <w:color w:val="000000"/>
          <w:sz w:val="28"/>
        </w:rPr>
      </w:pPr>
    </w:p>
    <w:p>
      <w:pPr>
        <w:pStyle w:val="6"/>
        <w:ind w:left="0" w:leftChars="0" w:firstLine="0" w:firstLineChars="0"/>
      </w:pPr>
    </w:p>
    <w:p>
      <w:pPr>
        <w:spacing w:line="360" w:lineRule="auto"/>
        <w:rPr>
          <w:rFonts w:ascii="Times New Roman" w:hAnsi="Times New Roman" w:cs="Times New Roman" w:eastAsiaTheme="minorEastAsia"/>
          <w:color w:val="000000"/>
          <w:sz w:val="28"/>
        </w:rPr>
      </w:pPr>
    </w:p>
    <w:tbl>
      <w:tblPr>
        <w:tblStyle w:val="20"/>
        <w:tblpPr w:leftFromText="180" w:rightFromText="180" w:vertAnchor="text" w:horzAnchor="margin" w:tblpXSpec="center" w:tblpY="902"/>
        <w:tblOverlap w:val="never"/>
        <w:tblW w:w="9036" w:type="dxa"/>
        <w:tblInd w:w="8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9"/>
        <w:gridCol w:w="4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trPr>
        <w:tc>
          <w:tcPr>
            <w:tcW w:w="4489"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b/>
                <w:sz w:val="24"/>
                <w:szCs w:val="24"/>
              </w:rPr>
            </w:pPr>
            <w:r>
              <w:rPr>
                <w:rFonts w:hint="eastAsia" w:ascii="宋体" w:hAnsi="宋体" w:eastAsia="宋体" w:cs="宋体"/>
                <w:sz w:val="24"/>
                <w:szCs w:val="24"/>
              </w:rPr>
              <w:t>建设单位：保定绿源环保服务有限公司</w:t>
            </w:r>
          </w:p>
        </w:tc>
        <w:tc>
          <w:tcPr>
            <w:tcW w:w="4547"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color w:val="000000"/>
                <w:sz w:val="24"/>
                <w:szCs w:val="24"/>
              </w:rPr>
            </w:pPr>
            <w:r>
              <w:rPr>
                <w:rFonts w:hint="eastAsia" w:ascii="宋体" w:hAnsi="宋体" w:eastAsia="宋体" w:cs="宋体"/>
                <w:sz w:val="24"/>
                <w:szCs w:val="24"/>
              </w:rPr>
              <w:t>编制单位：</w:t>
            </w:r>
            <w:r>
              <w:rPr>
                <w:rFonts w:hint="eastAsia" w:ascii="宋体" w:hAnsi="宋体" w:eastAsia="宋体" w:cs="宋体"/>
                <w:sz w:val="24"/>
                <w:szCs w:val="24"/>
                <w:lang w:val="en-US" w:eastAsia="zh-CN"/>
              </w:rPr>
              <w:t>河北新环检测集团有限公司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489"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b/>
                <w:sz w:val="24"/>
                <w:szCs w:val="24"/>
              </w:rPr>
            </w:pPr>
            <w:r>
              <w:rPr>
                <w:rFonts w:hint="eastAsia" w:ascii="宋体" w:hAnsi="宋体" w:eastAsia="宋体" w:cs="宋体"/>
                <w:sz w:val="24"/>
                <w:szCs w:val="24"/>
              </w:rPr>
              <w:t>电话：</w:t>
            </w:r>
            <w:r>
              <w:rPr>
                <w:rFonts w:hint="eastAsia" w:ascii="宋体" w:hAnsi="宋体" w:eastAsia="宋体" w:cs="宋体"/>
                <w:sz w:val="24"/>
                <w:szCs w:val="24"/>
                <w:lang w:val="en-US" w:eastAsia="zh-CN"/>
              </w:rPr>
              <w:t>15188698111</w:t>
            </w:r>
          </w:p>
        </w:tc>
        <w:tc>
          <w:tcPr>
            <w:tcW w:w="4547"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lang w:val="en-US" w:eastAsia="zh-CN"/>
              </w:rPr>
              <w:t>0312-5900398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9"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b/>
                <w:sz w:val="24"/>
                <w:szCs w:val="24"/>
              </w:rPr>
            </w:pPr>
            <w:r>
              <w:rPr>
                <w:rFonts w:hint="eastAsia" w:ascii="宋体" w:hAnsi="宋体" w:eastAsia="宋体" w:cs="宋体"/>
                <w:sz w:val="24"/>
                <w:szCs w:val="24"/>
              </w:rPr>
              <w:t>传真：/</w:t>
            </w:r>
          </w:p>
        </w:tc>
        <w:tc>
          <w:tcPr>
            <w:tcW w:w="4547"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b/>
                <w:sz w:val="24"/>
                <w:szCs w:val="24"/>
              </w:rPr>
            </w:pPr>
            <w:r>
              <w:rPr>
                <w:rFonts w:hint="eastAsia" w:ascii="宋体" w:hAnsi="宋体" w:eastAsia="宋体" w:cs="宋体"/>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9"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b/>
                <w:sz w:val="24"/>
                <w:szCs w:val="24"/>
              </w:rPr>
            </w:pPr>
            <w:r>
              <w:rPr>
                <w:rFonts w:hint="eastAsia" w:ascii="宋体" w:hAnsi="宋体" w:eastAsia="宋体" w:cs="宋体"/>
                <w:sz w:val="24"/>
                <w:szCs w:val="24"/>
              </w:rPr>
              <w:t>邮编：071000</w:t>
            </w:r>
          </w:p>
        </w:tc>
        <w:tc>
          <w:tcPr>
            <w:tcW w:w="4547"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b/>
                <w:sz w:val="24"/>
                <w:szCs w:val="24"/>
              </w:rPr>
            </w:pPr>
            <w:r>
              <w:rPr>
                <w:rFonts w:hint="eastAsia" w:ascii="宋体" w:hAnsi="宋体" w:eastAsia="宋体" w:cs="宋体"/>
                <w:sz w:val="24"/>
                <w:szCs w:val="24"/>
              </w:rPr>
              <w:t>邮编：071000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9"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b/>
                <w:sz w:val="24"/>
                <w:szCs w:val="24"/>
              </w:rPr>
            </w:pPr>
            <w:r>
              <w:rPr>
                <w:rFonts w:hint="eastAsia" w:ascii="宋体" w:hAnsi="宋体" w:eastAsia="宋体" w:cs="宋体"/>
                <w:sz w:val="24"/>
                <w:szCs w:val="24"/>
              </w:rPr>
              <w:t>地址：</w:t>
            </w:r>
            <w:r>
              <w:rPr>
                <w:rFonts w:hint="eastAsia" w:ascii="宋体" w:hAnsi="宋体" w:eastAsia="宋体" w:cs="宋体"/>
                <w:bCs/>
                <w:sz w:val="24"/>
                <w:szCs w:val="24"/>
                <w:lang w:val="en-US" w:eastAsia="zh-CN"/>
              </w:rPr>
              <w:t>保定市蠡县蠡吾镇北漳村</w:t>
            </w:r>
          </w:p>
        </w:tc>
        <w:tc>
          <w:tcPr>
            <w:tcW w:w="4547" w:type="dxa"/>
            <w:tcBorders>
              <w:top w:val="nil"/>
              <w:left w:val="nil"/>
              <w:bottom w:val="nil"/>
              <w:right w:val="nil"/>
            </w:tcBorders>
            <w:vAlign w:val="top"/>
          </w:tcPr>
          <w:p>
            <w:pPr>
              <w:adjustRightInd w:val="0"/>
              <w:snapToGrid w:val="0"/>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地址：保定市竞秀区</w:t>
            </w:r>
            <w:r>
              <w:rPr>
                <w:rFonts w:hint="eastAsia" w:ascii="宋体" w:hAnsi="宋体" w:eastAsia="宋体" w:cs="宋体"/>
                <w:sz w:val="24"/>
                <w:szCs w:val="24"/>
                <w:lang w:val="en-US" w:eastAsia="zh-CN"/>
              </w:rPr>
              <w:t>云杉路115号</w:t>
            </w:r>
          </w:p>
        </w:tc>
      </w:tr>
    </w:tbl>
    <w:p>
      <w:pPr>
        <w:spacing w:after="0" w:line="360" w:lineRule="auto"/>
        <w:rPr>
          <w:rFonts w:ascii="Times New Roman" w:hAnsi="Times New Roman" w:cs="Times New Roman" w:eastAsiaTheme="minorEastAsia"/>
          <w:b/>
          <w:color w:val="000000"/>
          <w:sz w:val="24"/>
          <w:szCs w:val="24"/>
        </w:rPr>
        <w:sectPr>
          <w:headerReference r:id="rId4" w:type="default"/>
          <w:footerReference r:id="rId5" w:type="default"/>
          <w:pgSz w:w="11906" w:h="16838"/>
          <w:pgMar w:top="1440" w:right="1080" w:bottom="1440" w:left="1080" w:header="708" w:footer="708" w:gutter="0"/>
          <w:pgBorders>
            <w:top w:val="none" w:sz="0" w:space="0"/>
            <w:left w:val="none" w:sz="0" w:space="0"/>
            <w:bottom w:val="none" w:sz="0" w:space="0"/>
            <w:right w:val="none" w:sz="0" w:space="0"/>
          </w:pgBorders>
          <w:pgNumType w:start="1" w:chapStyle="1"/>
          <w:cols w:space="720" w:num="1"/>
          <w:docGrid w:linePitch="360" w:charSpace="0"/>
        </w:sectPr>
      </w:pPr>
    </w:p>
    <w:p>
      <w:pPr>
        <w:spacing w:after="0" w:line="360" w:lineRule="auto"/>
        <w:rPr>
          <w:rFonts w:ascii="Times New Roman" w:hAnsi="Times New Roman" w:cs="Times New Roman" w:eastAsiaTheme="minorEastAsia"/>
          <w:b/>
          <w:color w:val="000000"/>
          <w:sz w:val="28"/>
          <w:szCs w:val="28"/>
        </w:rPr>
      </w:pPr>
      <w:r>
        <w:rPr>
          <w:rFonts w:ascii="Times New Roman" w:cs="Times New Roman" w:hAnsiTheme="minorEastAsia" w:eastAsiaTheme="minorEastAsia"/>
          <w:b/>
          <w:color w:val="000000"/>
          <w:sz w:val="28"/>
          <w:szCs w:val="28"/>
        </w:rPr>
        <w:t>表一</w:t>
      </w:r>
    </w:p>
    <w:tbl>
      <w:tblPr>
        <w:tblStyle w:val="19"/>
        <w:tblW w:w="97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172"/>
        <w:gridCol w:w="2222"/>
        <w:gridCol w:w="1232"/>
        <w:gridCol w:w="993"/>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799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扩建机动车维修拆解行业危险废物收集存储项目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799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保定绿源环保服务有限公司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799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扩建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7997" w:type="dxa"/>
            <w:gridSpan w:val="5"/>
            <w:vAlign w:val="center"/>
          </w:tcPr>
          <w:p>
            <w:pPr>
              <w:keepNext w:val="0"/>
              <w:keepLines w:val="0"/>
              <w:pageBreakBefore w:val="0"/>
              <w:widowControl/>
              <w:tabs>
                <w:tab w:val="left" w:pos="825"/>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lang w:eastAsia="zh-CN"/>
              </w:rPr>
              <w:t>河北省保定市蠡县蠡吾镇北漳村西北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799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收集、储存及转运机动车维修拆解过程产生的各类危险废物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799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扩建项目完成后全厂收集、储存及转运机动车维修拆解过程产生的各类危险废物40000吨</w:t>
            </w:r>
            <w:r>
              <w:rPr>
                <w:rFonts w:hint="eastAsia" w:ascii="Times New Roman" w:hAnsi="Times New Roman" w:eastAsia="宋体" w:cs="Times New Roman"/>
                <w:color w:val="000000"/>
                <w:sz w:val="24"/>
                <w:szCs w:val="24"/>
                <w:lang w:val="en-US" w:eastAsia="zh-CN"/>
              </w:rPr>
              <w:t>/年</w:t>
            </w:r>
            <w:r>
              <w:rPr>
                <w:rFonts w:hint="default" w:ascii="Times New Roman" w:hAnsi="Times New Roman" w:eastAsia="宋体" w:cs="Times New Roman"/>
                <w:color w:val="000000"/>
                <w:sz w:val="24"/>
                <w:szCs w:val="24"/>
                <w:lang w:val="en-US" w:eastAsia="zh-CN"/>
              </w:rPr>
              <w:t>，最大储存量为</w:t>
            </w:r>
            <w:r>
              <w:rPr>
                <w:rFonts w:hint="eastAsia" w:ascii="Times New Roman" w:hAnsi="Times New Roman" w:eastAsia="宋体" w:cs="Times New Roman"/>
                <w:color w:val="000000"/>
                <w:sz w:val="24"/>
                <w:szCs w:val="24"/>
                <w:lang w:val="en-US" w:eastAsia="zh-CN"/>
              </w:rPr>
              <w:t>134</w:t>
            </w:r>
            <w:r>
              <w:rPr>
                <w:rFonts w:hint="default" w:ascii="Times New Roman" w:hAnsi="Times New Roman" w:eastAsia="宋体" w:cs="Times New Roman"/>
                <w:color w:val="000000"/>
                <w:sz w:val="24"/>
                <w:szCs w:val="24"/>
                <w:lang w:val="en-US" w:eastAsia="zh-CN"/>
              </w:rPr>
              <w:t>吨，最长暂存时间为4天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799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val="en-US"/>
              </w:rPr>
            </w:pPr>
            <w:r>
              <w:rPr>
                <w:rFonts w:hint="eastAsia" w:ascii="宋体" w:hAnsi="宋体" w:eastAsia="宋体" w:cs="宋体"/>
                <w:bCs/>
                <w:color w:val="auto"/>
                <w:sz w:val="24"/>
                <w:lang w:val="en-US" w:eastAsia="zh-CN"/>
              </w:rPr>
              <w:t>扩建项目完成后全厂收集、储存及转运机动车维修拆解过程产生的各类危险废物30500吨/年，最大储存量</w:t>
            </w:r>
            <w:r>
              <w:rPr>
                <w:rFonts w:hint="eastAsia" w:ascii="Times New Roman" w:hAnsi="Times New Roman" w:eastAsia="宋体" w:cs="Times New Roman"/>
                <w:color w:val="000000"/>
                <w:sz w:val="24"/>
                <w:szCs w:val="24"/>
                <w:lang w:val="en-US" w:eastAsia="zh-CN"/>
              </w:rPr>
              <w:t>为96</w:t>
            </w:r>
            <w:r>
              <w:rPr>
                <w:rFonts w:hint="eastAsia" w:ascii="宋体" w:hAnsi="宋体" w:eastAsia="宋体" w:cs="宋体"/>
                <w:bCs/>
                <w:color w:val="auto"/>
                <w:sz w:val="24"/>
                <w:lang w:val="en-US" w:eastAsia="zh-CN"/>
              </w:rPr>
              <w:t>吨，最长暂存时间为4天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时间</w:t>
            </w:r>
          </w:p>
        </w:tc>
        <w:tc>
          <w:tcPr>
            <w:tcW w:w="21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日</w:t>
            </w:r>
          </w:p>
        </w:tc>
        <w:tc>
          <w:tcPr>
            <w:tcW w:w="22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3603"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调试时间</w:t>
            </w:r>
          </w:p>
        </w:tc>
        <w:tc>
          <w:tcPr>
            <w:tcW w:w="21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p>
        </w:tc>
        <w:tc>
          <w:tcPr>
            <w:tcW w:w="22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3603"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审批部门</w:t>
            </w:r>
          </w:p>
        </w:tc>
        <w:tc>
          <w:tcPr>
            <w:tcW w:w="21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蠡县行政审批局</w:t>
            </w:r>
          </w:p>
        </w:tc>
        <w:tc>
          <w:tcPr>
            <w:tcW w:w="22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编制单位</w:t>
            </w:r>
          </w:p>
        </w:tc>
        <w:tc>
          <w:tcPr>
            <w:tcW w:w="3603"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河北时泰工程技术有限公司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w:t>
            </w:r>
          </w:p>
        </w:tc>
        <w:tc>
          <w:tcPr>
            <w:tcW w:w="21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w:t>
            </w:r>
          </w:p>
        </w:tc>
        <w:tc>
          <w:tcPr>
            <w:tcW w:w="22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3603"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21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600</w:t>
            </w:r>
            <w:r>
              <w:rPr>
                <w:rFonts w:hint="default" w:ascii="Times New Roman" w:hAnsi="Times New Roman" w:eastAsia="宋体" w:cs="Times New Roman"/>
                <w:color w:val="auto"/>
                <w:sz w:val="24"/>
                <w:szCs w:val="24"/>
              </w:rPr>
              <w:t>万</w:t>
            </w:r>
          </w:p>
        </w:tc>
        <w:tc>
          <w:tcPr>
            <w:tcW w:w="22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万</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21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万</w:t>
            </w:r>
          </w:p>
        </w:tc>
        <w:tc>
          <w:tcPr>
            <w:tcW w:w="22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123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万</w:t>
            </w:r>
          </w:p>
        </w:tc>
        <w:tc>
          <w:tcPr>
            <w:tcW w:w="99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3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4.3</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8" w:hRule="atLeast"/>
          <w:jc w:val="center"/>
        </w:trPr>
        <w:tc>
          <w:tcPr>
            <w:tcW w:w="17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799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《建设项目竣工环境保护验收暂行办法》，国环规环评[2017]4 号；</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《建设项目竣工环境保护验收技术指南污染影响类》（生态环境部公告，2018年第 9号）；</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建设项目环境影响评价文件审批及建设单位自主开展环境保护设施验收工作指引（试行）》（冀环办字函[2017]727号）；</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4、河北时泰工程技术有限公司编制的《</w:t>
            </w:r>
            <w:r>
              <w:rPr>
                <w:rFonts w:hint="default" w:ascii="Times New Roman" w:hAnsi="Times New Roman" w:eastAsia="宋体" w:cs="Times New Roman"/>
                <w:sz w:val="24"/>
                <w:szCs w:val="24"/>
              </w:rPr>
              <w:t>保定绿源环保服务有限公司</w:t>
            </w:r>
            <w:r>
              <w:rPr>
                <w:rFonts w:hint="default" w:ascii="Times New Roman" w:hAnsi="Times New Roman" w:eastAsia="宋体" w:cs="Times New Roman"/>
                <w:sz w:val="24"/>
                <w:szCs w:val="24"/>
                <w:lang w:val="en-US" w:eastAsia="zh-CN"/>
              </w:rPr>
              <w:t>扩建机动车维修拆解行业危险废物收集存储项目</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》2020年9月；</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color w:val="auto"/>
                <w:sz w:val="24"/>
                <w:szCs w:val="24"/>
                <w:lang w:eastAsia="zh-CN"/>
              </w:rPr>
              <w:t>蠡县行政审批局</w:t>
            </w:r>
            <w:r>
              <w:rPr>
                <w:rFonts w:hint="default"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rPr>
              <w:t>保定绿源环保服务有限公司</w:t>
            </w:r>
            <w:r>
              <w:rPr>
                <w:rFonts w:hint="default" w:ascii="Times New Roman" w:hAnsi="Times New Roman" w:eastAsia="宋体" w:cs="Times New Roman"/>
                <w:sz w:val="24"/>
                <w:szCs w:val="24"/>
                <w:lang w:val="en-US" w:eastAsia="zh-CN"/>
              </w:rPr>
              <w:t>扩建机动车维修拆解行业危险废物收集存储项目</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》的审批意见，</w:t>
            </w:r>
            <w:r>
              <w:rPr>
                <w:rFonts w:hint="eastAsia" w:ascii="Times New Roman" w:hAnsi="Times New Roman" w:eastAsia="宋体" w:cs="Times New Roman"/>
                <w:sz w:val="24"/>
                <w:szCs w:val="24"/>
                <w:lang w:val="en-US" w:eastAsia="zh-CN"/>
              </w:rPr>
              <w:t>蠡审环表[2020]24号</w:t>
            </w:r>
            <w:r>
              <w:rPr>
                <w:rFonts w:hint="eastAsia" w:ascii="Times New Roman" w:hAnsi="Times New Roman" w:eastAsia="宋体" w:cs="Times New Roman"/>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sz w:val="24"/>
                <w:szCs w:val="24"/>
                <w:lang w:val="en-US" w:eastAsia="zh-CN"/>
              </w:rPr>
              <w:t>河北时泰工程技术有限公司编制的《</w:t>
            </w:r>
            <w:r>
              <w:rPr>
                <w:rFonts w:hint="default" w:ascii="Times New Roman" w:hAnsi="Times New Roman" w:eastAsia="宋体" w:cs="Times New Roman"/>
                <w:sz w:val="24"/>
                <w:szCs w:val="24"/>
              </w:rPr>
              <w:t>保定绿源环保服务有限公司</w:t>
            </w:r>
            <w:r>
              <w:rPr>
                <w:rFonts w:hint="default" w:ascii="Times New Roman" w:hAnsi="Times New Roman" w:eastAsia="宋体" w:cs="Times New Roman"/>
                <w:sz w:val="24"/>
                <w:szCs w:val="24"/>
                <w:lang w:val="en-US" w:eastAsia="zh-CN"/>
              </w:rPr>
              <w:t>扩建机动车维修拆解行业危险废物收集存储项目</w:t>
            </w:r>
            <w:r>
              <w:rPr>
                <w:rFonts w:hint="default" w:ascii="Times New Roman" w:hAnsi="Times New Roman" w:eastAsia="宋体" w:cs="Times New Roman"/>
                <w:sz w:val="24"/>
                <w:szCs w:val="24"/>
              </w:rPr>
              <w:t>环境影响</w:t>
            </w:r>
            <w:r>
              <w:rPr>
                <w:rFonts w:hint="eastAsia" w:ascii="Times New Roman" w:hAnsi="Times New Roman" w:eastAsia="宋体" w:cs="Times New Roman"/>
                <w:sz w:val="24"/>
                <w:szCs w:val="24"/>
                <w:lang w:val="en-US" w:eastAsia="zh-CN"/>
              </w:rPr>
              <w:t>评价补充说明</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2021年1月；</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、排污登记回执：编号91130635MA0CNKDN9E001V；</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rPr>
            </w:pP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河北新环检测集团有限公司  </w:t>
            </w:r>
            <w:r>
              <w:rPr>
                <w:rFonts w:hint="default" w:ascii="Times New Roman" w:hAnsi="Times New Roman" w:eastAsia="宋体" w:cs="Times New Roman"/>
                <w:color w:val="auto"/>
                <w:sz w:val="24"/>
                <w:szCs w:val="24"/>
                <w:lang w:val="en-US" w:eastAsia="zh-CN"/>
              </w:rPr>
              <w:t>XHBG202106035。</w:t>
            </w:r>
          </w:p>
        </w:tc>
      </w:tr>
    </w:tbl>
    <w:p>
      <w:pPr>
        <w:spacing w:after="0" w:line="288" w:lineRule="auto"/>
        <w:jc w:val="center"/>
        <w:rPr>
          <w:rFonts w:ascii="Times New Roman" w:cs="Times New Roman" w:hAnsiTheme="minorEastAsia" w:eastAsiaTheme="minorEastAsia"/>
          <w:color w:val="000000"/>
          <w:sz w:val="24"/>
          <w:szCs w:val="24"/>
        </w:rPr>
        <w:sectPr>
          <w:footerReference r:id="rId6" w:type="default"/>
          <w:pgSz w:w="11906" w:h="16838"/>
          <w:pgMar w:top="1440" w:right="1080" w:bottom="1440" w:left="1080" w:header="709" w:footer="709" w:gutter="0"/>
          <w:pgBorders>
            <w:top w:val="none" w:sz="0" w:space="0"/>
            <w:left w:val="none" w:sz="0" w:space="0"/>
            <w:bottom w:val="none" w:sz="0" w:space="0"/>
            <w:right w:val="none" w:sz="0" w:space="0"/>
          </w:pgBorders>
          <w:pgNumType w:fmt="decimal" w:start="1" w:chapStyle="1"/>
          <w:cols w:space="720" w:num="1"/>
          <w:docGrid w:linePitch="360" w:charSpace="0"/>
        </w:sectPr>
      </w:pPr>
    </w:p>
    <w:tbl>
      <w:tblPr>
        <w:tblStyle w:val="19"/>
        <w:tblW w:w="9852" w:type="dxa"/>
        <w:tblInd w:w="5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8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7" w:hRule="atLeast"/>
        </w:trPr>
        <w:tc>
          <w:tcPr>
            <w:tcW w:w="1722" w:type="dxa"/>
            <w:vAlign w:val="center"/>
          </w:tcPr>
          <w:p>
            <w:pPr>
              <w:spacing w:after="0" w:line="288" w:lineRule="auto"/>
              <w:jc w:val="center"/>
              <w:rPr>
                <w:rFonts w:ascii="Times New Roman" w:hAnsi="Times New Roman" w:cs="Times New Roman" w:eastAsiaTheme="minorEastAsia"/>
                <w:color w:val="000000"/>
                <w:sz w:val="24"/>
                <w:szCs w:val="24"/>
              </w:rPr>
            </w:pPr>
            <w:r>
              <w:rPr>
                <w:rFonts w:ascii="Times New Roman" w:cs="Times New Roman" w:hAnsiTheme="minorEastAsia" w:eastAsiaTheme="minorEastAsia"/>
                <w:color w:val="000000"/>
                <w:sz w:val="24"/>
                <w:szCs w:val="24"/>
              </w:rPr>
              <w:t>验收监测评价标准、标号、级别、限值</w:t>
            </w:r>
          </w:p>
        </w:tc>
        <w:tc>
          <w:tcPr>
            <w:tcW w:w="8130" w:type="dxa"/>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40" w:leftChars="0" w:firstLine="480" w:firstLineChars="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废气：危废暂存库有组织废气排放执行</w:t>
            </w:r>
            <w:r>
              <w:rPr>
                <w:rFonts w:hint="eastAsia" w:ascii="宋体" w:hAnsi="宋体" w:eastAsia="宋体" w:cs="宋体"/>
                <w:sz w:val="24"/>
                <w:szCs w:val="24"/>
                <w:lang w:eastAsia="zh-CN"/>
              </w:rPr>
              <w:t>《工业企业挥发性有机物排放控制标准》（</w:t>
            </w:r>
            <w:r>
              <w:rPr>
                <w:rFonts w:hint="eastAsia" w:ascii="宋体" w:hAnsi="宋体" w:eastAsia="宋体" w:cs="宋体"/>
                <w:sz w:val="24"/>
                <w:szCs w:val="24"/>
                <w:lang w:val="en-US" w:eastAsia="zh-CN"/>
              </w:rPr>
              <w:t>DB13/2322-2016</w:t>
            </w:r>
            <w:r>
              <w:rPr>
                <w:rFonts w:hint="eastAsia" w:ascii="宋体" w:hAnsi="宋体" w:eastAsia="宋体" w:cs="宋体"/>
                <w:sz w:val="24"/>
                <w:szCs w:val="24"/>
                <w:lang w:eastAsia="zh-CN"/>
              </w:rPr>
              <w:t>）表</w:t>
            </w:r>
            <w:r>
              <w:rPr>
                <w:rFonts w:hint="eastAsia" w:ascii="宋体" w:hAnsi="宋体" w:eastAsia="宋体" w:cs="宋体"/>
                <w:sz w:val="24"/>
                <w:szCs w:val="24"/>
                <w:lang w:val="en-US" w:eastAsia="zh-CN"/>
              </w:rPr>
              <w:t>1其他行业排放限值，无组织废气排放执行</w:t>
            </w:r>
            <w:r>
              <w:rPr>
                <w:rFonts w:hint="eastAsia" w:ascii="宋体" w:hAnsi="宋体" w:eastAsia="宋体" w:cs="宋体"/>
                <w:sz w:val="24"/>
                <w:szCs w:val="24"/>
                <w:lang w:eastAsia="zh-CN"/>
              </w:rPr>
              <w:t>《工业企业挥发性有机物排放控制标准》（</w:t>
            </w:r>
            <w:r>
              <w:rPr>
                <w:rFonts w:hint="eastAsia" w:ascii="宋体" w:hAnsi="宋体" w:eastAsia="宋体" w:cs="宋体"/>
                <w:sz w:val="24"/>
                <w:szCs w:val="24"/>
                <w:lang w:val="en-US" w:eastAsia="zh-CN"/>
              </w:rPr>
              <w:t>DB13/2322-2016</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表2其他企业标准，同时满足《挥发性有机物无组织排放控制标准》（GB37822-2019）表A.1厂区内VOCs无组织排放限值</w:t>
            </w:r>
            <w:r>
              <w:rPr>
                <w:rFonts w:hint="eastAsia" w:ascii="宋体" w:hAnsi="宋体" w:eastAsia="宋体" w:cs="宋体"/>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40" w:leftChars="0" w:firstLine="48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bCs/>
                <w:sz w:val="24"/>
                <w:szCs w:val="24"/>
                <w:lang w:eastAsia="zh-CN"/>
              </w:rPr>
              <w:t>噪声：西侧厂界噪声执行</w:t>
            </w:r>
            <w:r>
              <w:rPr>
                <w:rFonts w:hint="eastAsia" w:ascii="宋体" w:hAnsi="宋体" w:eastAsia="宋体" w:cs="宋体"/>
                <w:color w:val="auto"/>
                <w:sz w:val="24"/>
                <w:szCs w:val="24"/>
              </w:rPr>
              <w:t>《工业企业厂界环境噪声排放标准》（GB12348-2008）</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类标准</w:t>
            </w:r>
            <w:r>
              <w:rPr>
                <w:rFonts w:hint="eastAsia" w:ascii="宋体" w:hAnsi="宋体" w:eastAsia="宋体" w:cs="宋体"/>
                <w:color w:val="auto"/>
                <w:sz w:val="24"/>
                <w:szCs w:val="24"/>
                <w:lang w:eastAsia="zh-CN"/>
              </w:rPr>
              <w:t>，其他厂界执行</w:t>
            </w:r>
            <w:r>
              <w:rPr>
                <w:rFonts w:hint="eastAsia" w:ascii="宋体" w:hAnsi="宋体" w:eastAsia="宋体" w:cs="宋体"/>
                <w:color w:val="auto"/>
                <w:sz w:val="24"/>
                <w:szCs w:val="24"/>
              </w:rPr>
              <w:t>《工业企业厂界环境噪声排放标准》（GB12348-2008）</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类标准</w:t>
            </w:r>
            <w:r>
              <w:rPr>
                <w:rFonts w:hint="eastAsia" w:ascii="宋体" w:hAnsi="宋体" w:eastAsia="宋体" w:cs="宋体"/>
                <w:color w:val="auto"/>
                <w:sz w:val="24"/>
                <w:szCs w:val="24"/>
                <w:lang w:eastAsia="zh-CN"/>
              </w:rPr>
              <w:t>。</w:t>
            </w:r>
          </w:p>
          <w:p>
            <w:pPr>
              <w:keepNext w:val="0"/>
              <w:keepLines w:val="0"/>
              <w:pageBreakBefore w:val="0"/>
              <w:widowControl w:val="0"/>
              <w:numPr>
                <w:ilvl w:val="0"/>
                <w:numId w:val="1"/>
              </w:numPr>
              <w:tabs>
                <w:tab w:val="left" w:pos="6034"/>
              </w:tabs>
              <w:kinsoku/>
              <w:wordWrap/>
              <w:overflowPunct/>
              <w:topLinePunct w:val="0"/>
              <w:autoSpaceDE/>
              <w:autoSpaceDN/>
              <w:bidi w:val="0"/>
              <w:adjustRightInd/>
              <w:snapToGrid/>
              <w:spacing w:after="0" w:line="360" w:lineRule="auto"/>
              <w:ind w:left="-40" w:leftChars="0" w:right="0" w:rightChars="0" w:firstLine="480" w:firstLineChars="0"/>
              <w:jc w:val="left"/>
              <w:textAlignment w:val="auto"/>
              <w:outlineLvl w:val="9"/>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总量控制指标执行《</w:t>
            </w:r>
            <w:r>
              <w:rPr>
                <w:rFonts w:hint="eastAsia" w:ascii="宋体" w:hAnsi="宋体" w:eastAsia="宋体" w:cs="宋体"/>
                <w:bCs/>
                <w:color w:val="auto"/>
                <w:kern w:val="0"/>
                <w:sz w:val="24"/>
                <w:szCs w:val="24"/>
              </w:rPr>
              <w:t>保定绿源环保服务有限公司</w:t>
            </w:r>
            <w:r>
              <w:rPr>
                <w:rFonts w:hint="eastAsia" w:ascii="宋体" w:hAnsi="宋体" w:eastAsia="宋体" w:cs="宋体"/>
                <w:bCs/>
                <w:color w:val="auto"/>
                <w:kern w:val="0"/>
                <w:sz w:val="24"/>
                <w:szCs w:val="24"/>
                <w:lang w:val="en-US" w:eastAsia="zh-CN"/>
              </w:rPr>
              <w:t>扩建机动车维修拆解行业危险废物收集存储项目</w:t>
            </w:r>
            <w:r>
              <w:rPr>
                <w:rFonts w:hint="eastAsia" w:ascii="宋体" w:hAnsi="宋体" w:eastAsia="宋体" w:cs="宋体"/>
                <w:bCs/>
                <w:color w:val="auto"/>
                <w:kern w:val="0"/>
                <w:sz w:val="24"/>
                <w:szCs w:val="24"/>
              </w:rPr>
              <w:t>环境影响</w:t>
            </w:r>
            <w:r>
              <w:rPr>
                <w:rFonts w:hint="eastAsia" w:ascii="宋体" w:hAnsi="宋体" w:eastAsia="宋体" w:cs="宋体"/>
                <w:bCs/>
                <w:color w:val="auto"/>
                <w:kern w:val="0"/>
                <w:sz w:val="24"/>
                <w:szCs w:val="24"/>
                <w:lang w:val="en-US" w:eastAsia="zh-CN"/>
              </w:rPr>
              <w:t>评价补充说明》总量控制要求</w:t>
            </w:r>
            <w:r>
              <w:rPr>
                <w:rFonts w:hint="eastAsia" w:ascii="宋体" w:hAnsi="宋体" w:eastAsia="宋体" w:cs="宋体"/>
                <w:bCs/>
                <w:color w:val="auto"/>
                <w:kern w:val="0"/>
                <w:sz w:val="24"/>
                <w:szCs w:val="24"/>
              </w:rPr>
              <w:t>。</w:t>
            </w:r>
          </w:p>
          <w:p>
            <w:pPr>
              <w:keepNext w:val="0"/>
              <w:keepLines w:val="0"/>
              <w:pageBreakBefore w:val="0"/>
              <w:widowControl w:val="0"/>
              <w:numPr>
                <w:ilvl w:val="0"/>
                <w:numId w:val="0"/>
              </w:numPr>
              <w:tabs>
                <w:tab w:val="left" w:pos="6034"/>
              </w:tabs>
              <w:kinsoku/>
              <w:wordWrap/>
              <w:overflowPunct/>
              <w:topLinePunct w:val="0"/>
              <w:autoSpaceDE/>
              <w:autoSpaceDN/>
              <w:bidi w:val="0"/>
              <w:adjustRightInd/>
              <w:snapToGrid/>
              <w:spacing w:after="0" w:line="240" w:lineRule="auto"/>
              <w:ind w:right="0" w:rightChars="0"/>
              <w:jc w:val="center"/>
              <w:textAlignment w:val="auto"/>
              <w:outlineLvl w:val="9"/>
              <w:rPr>
                <w:rFonts w:hint="eastAsia" w:ascii="宋体" w:hAnsi="宋体" w:eastAsia="宋体" w:cs="宋体"/>
                <w:b/>
                <w:bCs/>
                <w:sz w:val="24"/>
              </w:rPr>
            </w:pPr>
            <w:r>
              <w:rPr>
                <w:rFonts w:hint="eastAsia" w:ascii="宋体" w:hAnsi="宋体" w:eastAsia="宋体" w:cs="宋体"/>
                <w:b/>
                <w:bCs/>
                <w:sz w:val="24"/>
                <w:lang w:eastAsia="zh-CN"/>
              </w:rPr>
              <w:t>表</w:t>
            </w:r>
            <w:r>
              <w:rPr>
                <w:rFonts w:hint="eastAsia" w:ascii="宋体" w:hAnsi="宋体" w:eastAsia="宋体" w:cs="宋体"/>
                <w:b/>
                <w:bCs/>
                <w:sz w:val="24"/>
                <w:lang w:val="en-US" w:eastAsia="zh-CN"/>
              </w:rPr>
              <w:t xml:space="preserve">1  </w:t>
            </w:r>
            <w:r>
              <w:rPr>
                <w:rFonts w:hint="eastAsia" w:ascii="宋体" w:hAnsi="宋体" w:eastAsia="宋体" w:cs="宋体"/>
                <w:b/>
                <w:bCs/>
                <w:sz w:val="24"/>
              </w:rPr>
              <w:t>验收执行标准及标准值</w:t>
            </w:r>
          </w:p>
          <w:tbl>
            <w:tblPr>
              <w:tblStyle w:val="20"/>
              <w:tblW w:w="7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578"/>
              <w:gridCol w:w="354"/>
              <w:gridCol w:w="257"/>
              <w:gridCol w:w="265"/>
              <w:gridCol w:w="692"/>
              <w:gridCol w:w="2328"/>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0" w:type="pct"/>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类别</w:t>
                  </w:r>
                </w:p>
              </w:tc>
              <w:tc>
                <w:tcPr>
                  <w:tcW w:w="1349" w:type="pct"/>
                  <w:gridSpan w:val="5"/>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监测项目</w:t>
                  </w:r>
                </w:p>
              </w:tc>
              <w:tc>
                <w:tcPr>
                  <w:tcW w:w="3240" w:type="pct"/>
                  <w:gridSpan w:val="2"/>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验收依据及标准值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废气</w:t>
                  </w:r>
                </w:p>
              </w:tc>
              <w:tc>
                <w:tcPr>
                  <w:tcW w:w="363"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有组织</w:t>
                  </w:r>
                </w:p>
              </w:tc>
              <w:tc>
                <w:tcPr>
                  <w:tcW w:w="550" w:type="pct"/>
                  <w:gridSpan w:val="3"/>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非甲烷总烃</w:t>
                  </w:r>
                </w:p>
              </w:tc>
              <w:tc>
                <w:tcPr>
                  <w:tcW w:w="435" w:type="pc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浓度</w:t>
                  </w:r>
                </w:p>
              </w:tc>
              <w:tc>
                <w:tcPr>
                  <w:tcW w:w="1463" w:type="pc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76"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eastAsia="zh-CN"/>
                    </w:rPr>
                    <w:t>《工业企业挥发性有机物排放控制标准》（</w:t>
                  </w:r>
                  <w:r>
                    <w:rPr>
                      <w:rFonts w:hint="default" w:ascii="Times New Roman" w:hAnsi="Times New Roman" w:eastAsia="宋体" w:cs="Times New Roman"/>
                      <w:sz w:val="21"/>
                      <w:szCs w:val="21"/>
                      <w:lang w:val="en-US" w:eastAsia="zh-CN"/>
                    </w:rPr>
                    <w:t>DB13/2322-2016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1其他行业排放限值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363"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985" w:type="pct"/>
                  <w:gridSpan w:val="4"/>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苯</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363"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985" w:type="pct"/>
                  <w:gridSpan w:val="4"/>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eastAsia="zh-CN"/>
                    </w:rPr>
                    <w:t>甲苯与二甲苯</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363"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无组织</w:t>
                  </w:r>
                </w:p>
              </w:tc>
              <w:tc>
                <w:tcPr>
                  <w:tcW w:w="222"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w:t>
                  </w:r>
                </w:p>
              </w:tc>
              <w:tc>
                <w:tcPr>
                  <w:tcW w:w="763" w:type="pct"/>
                  <w:gridSpan w:val="3"/>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非甲烷</w:t>
                  </w:r>
                </w:p>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总烃</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76"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eastAsia="zh-CN"/>
                    </w:rPr>
                    <w:t>《工业企业挥发性有机物排放控制标准》（</w:t>
                  </w:r>
                  <w:r>
                    <w:rPr>
                      <w:rFonts w:hint="default" w:ascii="Times New Roman" w:hAnsi="Times New Roman" w:eastAsia="宋体" w:cs="Times New Roman"/>
                      <w:sz w:val="21"/>
                      <w:szCs w:val="21"/>
                      <w:lang w:val="en-US" w:eastAsia="zh-CN"/>
                    </w:rPr>
                    <w:t>DB13/2322-2016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2其他企业标准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363"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222"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763" w:type="pct"/>
                  <w:gridSpan w:val="3"/>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苯</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0.1</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363"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222"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763" w:type="pct"/>
                  <w:gridSpan w:val="3"/>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甲苯</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0.6</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363"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222"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763" w:type="pct"/>
                  <w:gridSpan w:val="3"/>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二甲苯</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363"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222" w:type="pc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车间口</w:t>
                  </w:r>
                </w:p>
              </w:tc>
              <w:tc>
                <w:tcPr>
                  <w:tcW w:w="763" w:type="pct"/>
                  <w:gridSpan w:val="3"/>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tc>
              <w:tc>
                <w:tcPr>
                  <w:tcW w:w="1463" w:type="pc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厂房外设置监控点，监控点处1h平均浓度值：6.0mg/m</w:t>
                  </w:r>
                  <w:r>
                    <w:rPr>
                      <w:rFonts w:hint="default" w:ascii="Times New Roman" w:hAnsi="Times New Roman" w:eastAsia="宋体" w:cs="Times New Roman"/>
                      <w:sz w:val="21"/>
                      <w:szCs w:val="21"/>
                      <w:vertAlign w:val="superscript"/>
                      <w:lang w:eastAsia="zh-CN"/>
                    </w:rPr>
                    <w:t>3</w:t>
                  </w:r>
                </w:p>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监控点处任意一次浓度值：20mg/m</w:t>
                  </w:r>
                  <w:r>
                    <w:rPr>
                      <w:rFonts w:hint="default" w:ascii="Times New Roman" w:hAnsi="Times New Roman" w:eastAsia="宋体" w:cs="Times New Roman"/>
                      <w:sz w:val="21"/>
                      <w:szCs w:val="21"/>
                      <w:vertAlign w:val="superscript"/>
                      <w:lang w:eastAsia="zh-CN"/>
                    </w:rPr>
                    <w:t>3</w:t>
                  </w:r>
                </w:p>
              </w:tc>
              <w:tc>
                <w:tcPr>
                  <w:tcW w:w="1776" w:type="pc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《挥发性有机物无组织排放控制标准》（GB37822-2019）中的无组织特别排放限值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10"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w:t>
                  </w:r>
                </w:p>
              </w:tc>
              <w:tc>
                <w:tcPr>
                  <w:tcW w:w="747" w:type="pct"/>
                  <w:gridSpan w:val="3"/>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西厂界</w:t>
                  </w:r>
                </w:p>
              </w:tc>
              <w:tc>
                <w:tcPr>
                  <w:tcW w:w="601" w:type="pct"/>
                  <w:gridSpan w:val="2"/>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昼间</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w:t>
                  </w:r>
                  <w:r>
                    <w:rPr>
                      <w:rFonts w:hint="default" w:ascii="Times New Roman" w:hAnsi="Times New Roman" w:eastAsia="宋体" w:cs="Times New Roman"/>
                      <w:sz w:val="21"/>
                      <w:szCs w:val="21"/>
                    </w:rPr>
                    <w:t>dB(A)</w:t>
                  </w:r>
                </w:p>
              </w:tc>
              <w:tc>
                <w:tcPr>
                  <w:tcW w:w="1776"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《工业企业厂界环境噪声排放标准》（GB12348-2008）表1 中 4a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747" w:type="pct"/>
                  <w:gridSpan w:val="3"/>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eastAsia="zh-CN"/>
                    </w:rPr>
                  </w:pPr>
                </w:p>
              </w:tc>
              <w:tc>
                <w:tcPr>
                  <w:tcW w:w="601" w:type="pct"/>
                  <w:gridSpan w:val="2"/>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夜间</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r>
                    <w:rPr>
                      <w:rFonts w:hint="default" w:ascii="Times New Roman" w:hAnsi="Times New Roman" w:eastAsia="宋体" w:cs="Times New Roman"/>
                      <w:sz w:val="21"/>
                      <w:szCs w:val="21"/>
                    </w:rPr>
                    <w:t>dB(A)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747" w:type="pct"/>
                  <w:gridSpan w:val="3"/>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其他厂界</w:t>
                  </w:r>
                </w:p>
              </w:tc>
              <w:tc>
                <w:tcPr>
                  <w:tcW w:w="601" w:type="pct"/>
                  <w:gridSpan w:val="2"/>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昼间</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r>
                    <w:rPr>
                      <w:rFonts w:hint="default" w:ascii="Times New Roman" w:hAnsi="Times New Roman" w:eastAsia="宋体" w:cs="Times New Roman"/>
                      <w:sz w:val="21"/>
                      <w:szCs w:val="21"/>
                    </w:rPr>
                    <w:t>dB(A)</w:t>
                  </w:r>
                </w:p>
              </w:tc>
              <w:tc>
                <w:tcPr>
                  <w:tcW w:w="1776"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《工业企业厂界环境噪声排放标准》（GB12348-2008）表1 中 2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c>
                <w:tcPr>
                  <w:tcW w:w="747" w:type="pct"/>
                  <w:gridSpan w:val="3"/>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lang w:eastAsia="zh-CN"/>
                    </w:rPr>
                  </w:pPr>
                </w:p>
              </w:tc>
              <w:tc>
                <w:tcPr>
                  <w:tcW w:w="601" w:type="pct"/>
                  <w:gridSpan w:val="2"/>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夜间</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dB(A)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10"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总量控制指标</w:t>
                  </w: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1463" w:type="pc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0t/a</w:t>
                  </w:r>
                </w:p>
              </w:tc>
              <w:tc>
                <w:tcPr>
                  <w:tcW w:w="1776" w:type="pct"/>
                  <w:vMerge w:val="restart"/>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《保定绿源环保服务有限公司扩建机动车维修拆解行业危险废物收集存储项目环境影响评价补充说明》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NOx</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0t/a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0t/a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0.486t/a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0t/a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lang w:val="en-US" w:eastAsia="zh-CN"/>
                    </w:rPr>
                    <w:t>-N</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0t/a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0t/a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0"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349" w:type="pct"/>
                  <w:gridSpan w:val="5"/>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TN</w:t>
                  </w:r>
                </w:p>
              </w:tc>
              <w:tc>
                <w:tcPr>
                  <w:tcW w:w="1463" w:type="pc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0t/a</w:t>
                  </w:r>
                </w:p>
              </w:tc>
              <w:tc>
                <w:tcPr>
                  <w:tcW w:w="1776" w:type="pct"/>
                  <w:vMerge w:val="continue"/>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bl>
          <w:p>
            <w:pPr>
              <w:keepNext w:val="0"/>
              <w:keepLines w:val="0"/>
              <w:pageBreakBefore w:val="0"/>
              <w:widowControl w:val="0"/>
              <w:numPr>
                <w:ilvl w:val="0"/>
                <w:numId w:val="0"/>
              </w:numPr>
              <w:tabs>
                <w:tab w:val="left" w:pos="6034"/>
              </w:tabs>
              <w:kinsoku/>
              <w:wordWrap/>
              <w:overflowPunct/>
              <w:topLinePunct w:val="0"/>
              <w:autoSpaceDE/>
              <w:autoSpaceDN/>
              <w:bidi w:val="0"/>
              <w:adjustRightInd/>
              <w:snapToGrid/>
              <w:spacing w:after="200" w:line="360" w:lineRule="auto"/>
              <w:ind w:right="0" w:rightChars="0"/>
              <w:jc w:val="left"/>
              <w:textAlignment w:val="auto"/>
              <w:outlineLvl w:val="9"/>
              <w:rPr>
                <w:rFonts w:hint="default" w:ascii="宋体" w:hAnsi="宋体" w:eastAsia="宋体" w:cs="宋体"/>
                <w:bCs/>
                <w:kern w:val="0"/>
                <w:sz w:val="24"/>
                <w:szCs w:val="24"/>
                <w:lang w:val="en-US" w:eastAsia="zh-CN"/>
              </w:rPr>
            </w:pPr>
          </w:p>
        </w:tc>
      </w:tr>
    </w:tbl>
    <w:p>
      <w:pPr>
        <w:spacing w:after="0" w:line="288" w:lineRule="auto"/>
        <w:jc w:val="center"/>
        <w:rPr>
          <w:rFonts w:ascii="Times New Roman" w:cs="Times New Roman" w:hAnsiTheme="minorEastAsia" w:eastAsiaTheme="minorEastAsia"/>
          <w:color w:val="000000"/>
          <w:sz w:val="24"/>
          <w:szCs w:val="24"/>
        </w:rPr>
        <w:sectPr>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cs="Times New Roman" w:eastAsiaTheme="minorEastAsia"/>
          <w:b/>
          <w:color w:val="000000"/>
          <w:sz w:val="21"/>
          <w:szCs w:val="21"/>
        </w:rPr>
      </w:pPr>
      <w:r>
        <w:rPr>
          <w:rFonts w:ascii="Times New Roman" w:cs="Times New Roman" w:hAnsiTheme="minorEastAsia" w:eastAsiaTheme="minorEastAsia"/>
          <w:b/>
          <w:color w:val="000000"/>
          <w:sz w:val="28"/>
          <w:szCs w:val="28"/>
        </w:rPr>
        <w:t>表二</w:t>
      </w:r>
    </w:p>
    <w:tbl>
      <w:tblPr>
        <w:tblStyle w:val="19"/>
        <w:tblW w:w="9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498" w:hRule="atLeast"/>
          <w:jc w:val="center"/>
        </w:trPr>
        <w:tc>
          <w:tcPr>
            <w:tcW w:w="9891" w:type="dxa"/>
          </w:tcPr>
          <w:p>
            <w:pPr>
              <w:keepNext w:val="0"/>
              <w:keepLines w:val="0"/>
              <w:pageBreakBefore w:val="0"/>
              <w:kinsoku/>
              <w:wordWrap/>
              <w:overflowPunct/>
              <w:topLinePunct w:val="0"/>
              <w:autoSpaceDE/>
              <w:autoSpaceDN/>
              <w:bidi w:val="0"/>
              <w:adjustRightInd w:val="0"/>
              <w:snapToGrid w:val="0"/>
              <w:spacing w:after="0" w:line="336"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工程建设内容：</w:t>
            </w:r>
          </w:p>
          <w:p>
            <w:pPr>
              <w:pStyle w:val="5"/>
              <w:keepNext w:val="0"/>
              <w:keepLines w:val="0"/>
              <w:pageBreakBefore w:val="0"/>
              <w:kinsoku/>
              <w:wordWrap/>
              <w:overflowPunct/>
              <w:topLinePunct w:val="0"/>
              <w:autoSpaceDE/>
              <w:autoSpaceDN/>
              <w:bidi w:val="0"/>
              <w:adjustRightInd w:val="0"/>
              <w:snapToGrid w:val="0"/>
              <w:spacing w:line="336"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保定绿源环保服务有限公司位于蠡县蠡吾镇北漳村西北，厂区中心地理位置坐标为：东经115°36′9.05″，北纬38°31′9.72″。企业于</w:t>
            </w:r>
            <w:r>
              <w:rPr>
                <w:rFonts w:hint="eastAsia" w:ascii="宋体" w:hAnsi="宋体" w:eastAsia="宋体" w:cs="宋体"/>
                <w:color w:val="auto"/>
                <w:sz w:val="24"/>
                <w:szCs w:val="24"/>
                <w:lang w:val="en-US" w:eastAsia="zh-CN"/>
              </w:rPr>
              <w:t>2018</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月</w:t>
            </w:r>
            <w:r>
              <w:rPr>
                <w:rFonts w:hint="eastAsia" w:ascii="宋体" w:hAnsi="宋体" w:eastAsia="宋体" w:cs="宋体"/>
                <w:color w:val="auto"/>
                <w:sz w:val="24"/>
                <w:szCs w:val="24"/>
                <w:shd w:val="clear" w:color="auto" w:fill="auto"/>
              </w:rPr>
              <w:t>委托</w:t>
            </w:r>
            <w:r>
              <w:rPr>
                <w:rFonts w:hint="eastAsia" w:ascii="宋体" w:hAnsi="宋体" w:eastAsia="宋体" w:cs="宋体"/>
                <w:color w:val="auto"/>
                <w:sz w:val="24"/>
                <w:szCs w:val="24"/>
                <w:shd w:val="clear" w:color="auto" w:fill="auto"/>
                <w:lang w:val="en-US" w:eastAsia="zh-CN"/>
              </w:rPr>
              <w:t>编制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保定绿源环保服务有限公司新建废矿物油存贮项目环境影响报告表</w:t>
            </w:r>
            <w:r>
              <w:rPr>
                <w:rFonts w:hint="eastAsia" w:ascii="宋体" w:hAnsi="宋体" w:eastAsia="宋体" w:cs="宋体"/>
                <w:color w:val="auto"/>
                <w:sz w:val="24"/>
                <w:szCs w:val="24"/>
              </w:rPr>
              <w:t>》，该报告</w:t>
            </w:r>
            <w:r>
              <w:rPr>
                <w:rFonts w:hint="eastAsia" w:ascii="宋体" w:hAnsi="宋体" w:eastAsia="宋体" w:cs="宋体"/>
                <w:color w:val="auto"/>
                <w:sz w:val="24"/>
                <w:szCs w:val="24"/>
                <w:lang w:val="en-US" w:eastAsia="zh-CN"/>
              </w:rPr>
              <w:t>表</w:t>
            </w:r>
            <w:r>
              <w:rPr>
                <w:rFonts w:hint="eastAsia" w:ascii="宋体" w:hAnsi="宋体" w:eastAsia="宋体" w:cs="宋体"/>
                <w:color w:val="auto"/>
                <w:sz w:val="24"/>
                <w:szCs w:val="24"/>
              </w:rPr>
              <w:t>于</w:t>
            </w:r>
            <w:r>
              <w:rPr>
                <w:rFonts w:hint="eastAsia" w:ascii="宋体" w:hAnsi="宋体" w:eastAsia="宋体" w:cs="宋体"/>
                <w:color w:val="auto"/>
                <w:sz w:val="24"/>
                <w:szCs w:val="24"/>
                <w:lang w:val="en-US" w:eastAsia="zh-CN"/>
              </w:rPr>
              <w:t>2019</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23</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通过蠡县环保局审批，审批文号为蠡环表[2019]3号，2019年12月</w:t>
            </w:r>
            <w:r>
              <w:rPr>
                <w:rFonts w:hint="eastAsia" w:ascii="宋体" w:hAnsi="宋体" w:eastAsia="宋体" w:cs="宋体"/>
                <w:color w:val="auto"/>
                <w:sz w:val="24"/>
                <w:szCs w:val="24"/>
              </w:rPr>
              <w:t>保定绿源环保服务有限公司</w:t>
            </w:r>
            <w:r>
              <w:rPr>
                <w:rFonts w:hint="eastAsia" w:ascii="宋体" w:hAnsi="宋体" w:eastAsia="宋体" w:cs="宋体"/>
                <w:color w:val="auto"/>
                <w:sz w:val="24"/>
                <w:szCs w:val="24"/>
                <w:lang w:val="en-US" w:eastAsia="zh-CN"/>
              </w:rPr>
              <w:t>参照生态环境部《建设项目竣工环境保护验收暂行办法》有关要求对“保定绿源环保服务有限公司新建废矿物油存贮项目”进行验收，编制完成《保定绿源环保服务有限公司新建废矿物油存贮项目竣工环境保护验收监测报告表》，蠡县行政审批局于2020年1月20日出具《保定绿源环保服务有限公司新建废矿物油存贮项目固体废物污染防治设施竣工环境保护验收批复》</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szCs w:val="24"/>
              </w:rPr>
              <w:t>随着我国经济的快速发展和人民生活水平的不断提高，各种类型汽车的使用量与日俱增，各类机动车维修拆解行业危险废物也在逐年增加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保定绿源环保服务有限公司为废矿物油收集单位，</w:t>
            </w:r>
            <w:r>
              <w:rPr>
                <w:rFonts w:hint="eastAsia" w:ascii="宋体" w:hAnsi="宋体" w:eastAsia="宋体" w:cs="宋体"/>
                <w:color w:val="auto"/>
                <w:sz w:val="24"/>
                <w:szCs w:val="24"/>
                <w:lang w:val="en-US" w:eastAsia="zh-CN"/>
              </w:rPr>
              <w:t>企业</w:t>
            </w:r>
            <w:r>
              <w:rPr>
                <w:rFonts w:hint="eastAsia" w:ascii="宋体" w:hAnsi="宋体" w:eastAsia="宋体" w:cs="宋体"/>
                <w:color w:val="auto"/>
                <w:sz w:val="24"/>
                <w:szCs w:val="24"/>
              </w:rPr>
              <w:t>响应河北省生态环境厅办公室发布《关于加强机动车维修拆解行业危险废物收集试点管理工作的通知》（冀环办字函[2020]159号）机动车维修拆解行业危险废物收集试点管理工作，投资600万元建设“扩建机动车维修拆解行业危险废物收集存储项目”，对机动车维修拆解危险废物进行分类收集、分区贮存，并委托</w:t>
            </w:r>
            <w:r>
              <w:rPr>
                <w:rFonts w:hint="eastAsia" w:ascii="宋体" w:hAnsi="宋体" w:eastAsia="宋体" w:cs="宋体"/>
                <w:color w:val="auto"/>
                <w:sz w:val="24"/>
                <w:szCs w:val="24"/>
                <w:lang w:val="en-US" w:eastAsia="zh-CN"/>
              </w:rPr>
              <w:t>有资质单位进行处置</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企业委托河北时泰工程技术有限公司于2020年9月编制完成《保定绿源环保服务有限公司扩建机动车维修拆解行业危险废物收`集存储项目环境影响报告表》，审批文号为蠡审环表[2020]24号（2020年9月16日）</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项目实际建设过程中，为减少危废灯管的产生，</w:t>
            </w:r>
            <w:r>
              <w:rPr>
                <w:rFonts w:hint="eastAsia" w:ascii="宋体" w:hAnsi="宋体" w:eastAsia="宋体" w:cs="宋体"/>
                <w:color w:val="auto"/>
                <w:sz w:val="24"/>
                <w:szCs w:val="24"/>
                <w:lang w:val="en-US" w:eastAsia="zh-CN"/>
              </w:rPr>
              <w:t>储罐呼吸废气及危废暂存产生的有机废气治理设施由“UV光氧+两级活性炭吸附”，改为“等离子净化器+两级活性炭吸附装置”，废气排放总量变更为非甲烷总烃排放量为0.486t/a、甲苯排放量为0.009t/a,二甲苯0.015t/a，2021年1月河北时泰工程技术有限公司编制完成《保定绿源环保服务有限公司扩建机动车维修拆解行业危险废物收集存储项目环境影响评价补充说明》。2021年5月19日企业</w:t>
            </w:r>
            <w:r>
              <w:rPr>
                <w:rFonts w:hint="eastAsia" w:ascii="宋体" w:hAnsi="宋体" w:eastAsia="宋体" w:cs="宋体"/>
                <w:color w:val="auto"/>
                <w:sz w:val="24"/>
                <w:szCs w:val="24"/>
              </w:rPr>
              <w:t>变更了排污登记（</w:t>
            </w:r>
            <w:r>
              <w:rPr>
                <w:rFonts w:hint="eastAsia" w:ascii="宋体" w:hAnsi="宋体" w:eastAsia="宋体" w:cs="宋体"/>
                <w:color w:val="auto"/>
                <w:sz w:val="24"/>
                <w:szCs w:val="24"/>
                <w:lang w:val="en-US" w:eastAsia="zh-CN"/>
              </w:rPr>
              <w:t>91130635MAOCNKDN9E001V</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eastAsiaTheme="minorEastAsia"/>
                <w:color w:val="auto"/>
                <w:sz w:val="24"/>
                <w:szCs w:val="24"/>
              </w:rPr>
            </w:pPr>
            <w:r>
              <w:rPr>
                <w:rFonts w:hint="eastAsia" w:ascii="宋体" w:hAnsi="宋体" w:eastAsia="宋体" w:cs="宋体"/>
                <w:bCs/>
                <w:color w:val="auto"/>
                <w:sz w:val="24"/>
              </w:rPr>
              <w:t>本</w:t>
            </w:r>
            <w:r>
              <w:rPr>
                <w:rFonts w:hint="eastAsia" w:ascii="宋体" w:hAnsi="宋体" w:eastAsia="宋体" w:cs="宋体"/>
                <w:bCs/>
                <w:color w:val="auto"/>
                <w:sz w:val="24"/>
                <w:lang w:val="en-US" w:eastAsia="zh-CN"/>
              </w:rPr>
              <w:t>扩建</w:t>
            </w:r>
            <w:r>
              <w:rPr>
                <w:rFonts w:hint="eastAsia" w:ascii="宋体" w:hAnsi="宋体" w:eastAsia="宋体" w:cs="宋体"/>
                <w:bCs/>
                <w:color w:val="auto"/>
                <w:sz w:val="24"/>
              </w:rPr>
              <w:t>项目位于保定绿源环保服务有限公司内东侧，新增占地面积 800m</w:t>
            </w:r>
            <w:r>
              <w:rPr>
                <w:rFonts w:hint="eastAsia" w:ascii="宋体" w:hAnsi="宋体" w:eastAsia="宋体" w:cs="宋体"/>
                <w:bCs/>
                <w:color w:val="auto"/>
                <w:sz w:val="24"/>
                <w:vertAlign w:val="superscript"/>
              </w:rPr>
              <w:t>2</w:t>
            </w:r>
            <w:r>
              <w:rPr>
                <w:rFonts w:hint="eastAsia" w:ascii="宋体" w:hAnsi="宋体" w:eastAsia="宋体" w:cs="宋体"/>
                <w:bCs/>
                <w:color w:val="auto"/>
                <w:sz w:val="24"/>
              </w:rPr>
              <w:t>，新建危废库房 1 间，建筑面积 500m</w:t>
            </w:r>
            <w:r>
              <w:rPr>
                <w:rFonts w:hint="eastAsia" w:ascii="宋体" w:hAnsi="宋体" w:eastAsia="宋体" w:cs="宋体"/>
                <w:bCs/>
                <w:color w:val="auto"/>
                <w:sz w:val="24"/>
                <w:vertAlign w:val="superscript"/>
              </w:rPr>
              <w:t>2</w:t>
            </w:r>
            <w:r>
              <w:rPr>
                <w:rFonts w:hint="eastAsia" w:ascii="宋体" w:hAnsi="宋体" w:eastAsia="宋体" w:cs="宋体"/>
                <w:bCs/>
                <w:color w:val="auto"/>
                <w:sz w:val="24"/>
              </w:rPr>
              <w:t>。库房内危险废物分区分类存放，</w:t>
            </w:r>
            <w:r>
              <w:rPr>
                <w:rFonts w:hint="eastAsia" w:ascii="宋体" w:hAnsi="宋体" w:eastAsia="宋体" w:cs="宋体"/>
                <w:bCs/>
                <w:color w:val="auto"/>
                <w:sz w:val="24"/>
                <w:lang w:val="en-US" w:eastAsia="zh-CN"/>
              </w:rPr>
              <w:t>并做</w:t>
            </w:r>
            <w:r>
              <w:rPr>
                <w:rFonts w:hint="eastAsia" w:ascii="宋体" w:hAnsi="宋体" w:eastAsia="宋体" w:cs="宋体"/>
                <w:bCs/>
                <w:color w:val="auto"/>
                <w:sz w:val="24"/>
              </w:rPr>
              <w:t>基础防渗。</w:t>
            </w:r>
            <w:r>
              <w:rPr>
                <w:rFonts w:hint="eastAsia" w:ascii="宋体" w:hAnsi="宋体" w:eastAsia="宋体" w:cs="宋体"/>
                <w:bCs/>
                <w:color w:val="auto"/>
                <w:sz w:val="24"/>
                <w:lang w:val="en-US" w:eastAsia="zh-CN"/>
              </w:rPr>
              <w:t>扩建项目完成后周边关系未发生变化，厂区西侧临 S235 省道，北侧和东侧与康博扣板厂相邻，南侧为东泰仓储物流公司。距离厂址最近的环境敏感目标为厂区东南 410 米处的北漳村。项目西侧距离月明河最近距离为 690m。扩建项目完成后全厂实际收集、储存及转运机动车维修拆解过程产生的各类危险废物30500吨/年，最大储存量为96吨，最长暂存时间为4天。本项目不新增员工，由现有员工调配。项目年运行365天，每天24小时运行。</w:t>
            </w:r>
          </w:p>
        </w:tc>
      </w:tr>
    </w:tbl>
    <w:p>
      <w:pPr>
        <w:spacing w:after="0" w:line="360" w:lineRule="auto"/>
        <w:rPr>
          <w:rFonts w:ascii="Times New Roman" w:cs="Times New Roman" w:hAnsiTheme="minorEastAsia" w:eastAsiaTheme="minorEastAsia"/>
          <w:color w:val="000000"/>
          <w:sz w:val="24"/>
          <w:szCs w:val="24"/>
        </w:rPr>
        <w:sectPr>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cs="Times New Roman" w:eastAsiaTheme="minorEastAsia"/>
          <w:b/>
          <w:color w:val="000000"/>
          <w:sz w:val="21"/>
          <w:szCs w:val="21"/>
        </w:rPr>
      </w:pPr>
      <w:r>
        <w:rPr>
          <w:rFonts w:hint="eastAsia" w:ascii="Times New Roman" w:cs="Times New Roman" w:hAnsiTheme="minorEastAsia" w:eastAsiaTheme="minorEastAsia"/>
          <w:b/>
          <w:color w:val="000000"/>
          <w:sz w:val="28"/>
          <w:szCs w:val="28"/>
          <w:lang w:val="en-US" w:eastAsia="zh-CN"/>
        </w:rPr>
        <w:t>续</w:t>
      </w:r>
      <w:r>
        <w:rPr>
          <w:rFonts w:ascii="Times New Roman" w:cs="Times New Roman" w:hAnsiTheme="minorEastAsia" w:eastAsiaTheme="minorEastAsia"/>
          <w:b/>
          <w:color w:val="000000"/>
          <w:sz w:val="28"/>
          <w:szCs w:val="28"/>
        </w:rPr>
        <w:t>表二</w:t>
      </w:r>
    </w:p>
    <w:tbl>
      <w:tblPr>
        <w:tblStyle w:val="19"/>
        <w:tblW w:w="98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8" w:hRule="atLeast"/>
          <w:jc w:val="center"/>
        </w:trPr>
        <w:tc>
          <w:tcPr>
            <w:tcW w:w="9833" w:type="dxa"/>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b/>
                <w:bCs w:val="0"/>
                <w:color w:val="000000"/>
                <w:sz w:val="24"/>
                <w:szCs w:val="24"/>
                <w:lang w:val="en-US" w:eastAsia="zh-CN"/>
              </w:rPr>
            </w:pPr>
            <w:r>
              <w:rPr>
                <w:rFonts w:hint="eastAsia" w:ascii="宋体" w:hAnsi="宋体" w:eastAsia="宋体"/>
                <w:b/>
                <w:bCs w:val="0"/>
                <w:color w:val="000000"/>
                <w:sz w:val="24"/>
                <w:szCs w:val="24"/>
                <w:lang w:eastAsia="zh-CN"/>
              </w:rPr>
              <w:t>表</w:t>
            </w:r>
            <w:r>
              <w:rPr>
                <w:rFonts w:hint="eastAsia" w:ascii="宋体" w:hAnsi="宋体" w:eastAsia="宋体"/>
                <w:b/>
                <w:bCs w:val="0"/>
                <w:color w:val="000000"/>
                <w:sz w:val="24"/>
                <w:szCs w:val="24"/>
                <w:lang w:val="en-US" w:eastAsia="zh-CN"/>
              </w:rPr>
              <w:t>2  建设内容一览表</w:t>
            </w:r>
          </w:p>
          <w:tbl>
            <w:tblPr>
              <w:tblStyle w:val="19"/>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7"/>
              <w:gridCol w:w="931"/>
              <w:gridCol w:w="4157"/>
              <w:gridCol w:w="3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restar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工程类型</w:t>
                  </w:r>
                </w:p>
              </w:tc>
              <w:tc>
                <w:tcPr>
                  <w:tcW w:w="2651" w:type="pct"/>
                  <w:gridSpan w:val="2"/>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扩建项目</w:t>
                  </w:r>
                  <w:r>
                    <w:rPr>
                      <w:rFonts w:hint="default" w:ascii="Times New Roman" w:hAnsi="Times New Roman" w:eastAsia="宋体" w:cs="Times New Roman"/>
                      <w:sz w:val="21"/>
                      <w:szCs w:val="21"/>
                      <w:lang w:eastAsia="zh-CN"/>
                    </w:rPr>
                    <w:t>环评与批复</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continue"/>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48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工程内容</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3" w:hRule="atLeast"/>
                <w:jc w:val="center"/>
              </w:trPr>
              <w:tc>
                <w:tcPr>
                  <w:tcW w:w="327"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48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危废暂存仓库</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建设危废库房一座，建筑面积</w:t>
                  </w:r>
                  <w:r>
                    <w:rPr>
                      <w:rFonts w:hint="default" w:ascii="Times New Roman" w:hAnsi="Times New Roman" w:eastAsia="宋体" w:cs="Times New Roman"/>
                      <w:spacing w:val="-6"/>
                      <w:sz w:val="21"/>
                      <w:szCs w:val="21"/>
                    </w:rPr>
                    <w:t>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pacing w:val="-2"/>
                      <w:sz w:val="21"/>
                      <w:szCs w:val="21"/>
                    </w:rPr>
                    <w:t>，地面进行</w:t>
                  </w:r>
                  <w:r>
                    <w:rPr>
                      <w:rFonts w:hint="default" w:ascii="Times New Roman" w:hAnsi="Times New Roman" w:eastAsia="宋体" w:cs="Times New Roman"/>
                      <w:spacing w:val="-6"/>
                      <w:sz w:val="21"/>
                      <w:szCs w:val="21"/>
                    </w:rPr>
                    <w:t>防腐防渗处理。</w:t>
                  </w:r>
                  <w:r>
                    <w:rPr>
                      <w:rFonts w:hint="default" w:ascii="Times New Roman" w:hAnsi="Times New Roman" w:eastAsia="宋体" w:cs="Times New Roman"/>
                      <w:sz w:val="21"/>
                      <w:szCs w:val="21"/>
                    </w:rPr>
                    <w:t>HW08</w:t>
                  </w:r>
                  <w:r>
                    <w:rPr>
                      <w:rFonts w:hint="default" w:ascii="Times New Roman" w:hAnsi="Times New Roman" w:eastAsia="宋体" w:cs="Times New Roman"/>
                      <w:spacing w:val="-15"/>
                      <w:sz w:val="21"/>
                      <w:szCs w:val="21"/>
                    </w:rPr>
                    <w:t>仓库区，宽</w:t>
                  </w:r>
                  <w:r>
                    <w:rPr>
                      <w:rFonts w:hint="default" w:ascii="Times New Roman" w:hAnsi="Times New Roman" w:eastAsia="宋体" w:cs="Times New Roman"/>
                      <w:spacing w:val="-10"/>
                      <w:sz w:val="21"/>
                      <w:szCs w:val="21"/>
                    </w:rPr>
                    <w:t>5m</w:t>
                  </w:r>
                  <w:r>
                    <w:rPr>
                      <w:rFonts w:hint="default" w:ascii="Times New Roman" w:hAnsi="Times New Roman" w:eastAsia="宋体" w:cs="Times New Roman"/>
                      <w:spacing w:val="-21"/>
                      <w:sz w:val="21"/>
                      <w:szCs w:val="21"/>
                    </w:rPr>
                    <w:t>，长</w:t>
                  </w:r>
                  <w:r>
                    <w:rPr>
                      <w:rFonts w:hint="default" w:ascii="Times New Roman" w:hAnsi="Times New Roman" w:eastAsia="宋体" w:cs="Times New Roman"/>
                      <w:sz w:val="21"/>
                      <w:szCs w:val="21"/>
                    </w:rPr>
                    <w:t>10m，</w:t>
                  </w:r>
                  <w:r>
                    <w:rPr>
                      <w:rFonts w:hint="default" w:ascii="Times New Roman" w:hAnsi="Times New Roman" w:eastAsia="宋体" w:cs="Times New Roman"/>
                      <w:spacing w:val="-11"/>
                      <w:sz w:val="21"/>
                      <w:szCs w:val="21"/>
                    </w:rPr>
                    <w:t xml:space="preserve">四周设置 </w:t>
                  </w:r>
                  <w:r>
                    <w:rPr>
                      <w:rFonts w:hint="default" w:ascii="Times New Roman" w:hAnsi="Times New Roman" w:eastAsia="宋体" w:cs="Times New Roman"/>
                      <w:sz w:val="21"/>
                      <w:szCs w:val="21"/>
                    </w:rPr>
                    <w:t>1m</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7"/>
                      <w:sz w:val="21"/>
                      <w:szCs w:val="21"/>
                    </w:rPr>
                    <w:t>高围堰，围堰内四周设有废油引流</w:t>
                  </w:r>
                  <w:r>
                    <w:rPr>
                      <w:rFonts w:hint="default" w:ascii="Times New Roman" w:hAnsi="Times New Roman" w:eastAsia="宋体" w:cs="Times New Roman"/>
                      <w:spacing w:val="-3"/>
                      <w:sz w:val="21"/>
                      <w:szCs w:val="21"/>
                    </w:rPr>
                    <w:t>槽，并配套设置一座收集池</w:t>
                  </w:r>
                  <w:r>
                    <w:rPr>
                      <w:rFonts w:hint="default" w:ascii="Times New Roman" w:hAnsi="Times New Roman" w:eastAsia="宋体" w:cs="Times New Roman"/>
                      <w:sz w:val="21"/>
                      <w:szCs w:val="21"/>
                    </w:rPr>
                    <w:t>(2m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)，起到泄漏引</w:t>
                  </w:r>
                  <w:r>
                    <w:rPr>
                      <w:rFonts w:hint="default" w:ascii="Times New Roman" w:hAnsi="Times New Roman" w:eastAsia="宋体" w:cs="Times New Roman"/>
                      <w:spacing w:val="-4"/>
                      <w:sz w:val="21"/>
                      <w:szCs w:val="21"/>
                    </w:rPr>
                    <w:t>流收集作用。厂房为密闭厂房，</w:t>
                  </w:r>
                  <w:r>
                    <w:rPr>
                      <w:rFonts w:hint="default" w:ascii="Times New Roman" w:hAnsi="Times New Roman" w:eastAsia="宋体" w:cs="Times New Roman"/>
                      <w:spacing w:val="-5"/>
                      <w:sz w:val="21"/>
                      <w:szCs w:val="21"/>
                    </w:rPr>
                    <w:t>HW49</w:t>
                  </w:r>
                  <w:r>
                    <w:rPr>
                      <w:rFonts w:hint="default" w:ascii="Times New Roman" w:hAnsi="Times New Roman" w:eastAsia="宋体" w:cs="Times New Roman"/>
                      <w:spacing w:val="-18"/>
                      <w:sz w:val="21"/>
                      <w:szCs w:val="21"/>
                    </w:rPr>
                    <w:t>、</w:t>
                  </w:r>
                  <w:r>
                    <w:rPr>
                      <w:rFonts w:hint="default" w:ascii="Times New Roman" w:hAnsi="Times New Roman" w:eastAsia="宋体" w:cs="Times New Roman"/>
                      <w:sz w:val="21"/>
                      <w:szCs w:val="21"/>
                    </w:rPr>
                    <w:t>HW12、HW15</w:t>
                  </w:r>
                  <w:r>
                    <w:rPr>
                      <w:rFonts w:hint="default" w:ascii="Times New Roman" w:hAnsi="Times New Roman" w:eastAsia="宋体" w:cs="Times New Roman"/>
                      <w:spacing w:val="5"/>
                      <w:sz w:val="21"/>
                      <w:szCs w:val="21"/>
                    </w:rPr>
                    <w:t>仓库区为密闭车间，其他仓库区进行分区。</w:t>
                  </w:r>
                  <w:r>
                    <w:rPr>
                      <w:rFonts w:hint="default" w:ascii="Times New Roman" w:hAnsi="Times New Roman" w:eastAsia="宋体" w:cs="Times New Roman"/>
                      <w:sz w:val="21"/>
                      <w:szCs w:val="21"/>
                    </w:rPr>
                    <w:t>HW49</w:t>
                  </w:r>
                  <w:r>
                    <w:rPr>
                      <w:rFonts w:hint="default" w:ascii="Times New Roman" w:hAnsi="Times New Roman" w:eastAsia="宋体" w:cs="Times New Roman"/>
                      <w:spacing w:val="5"/>
                      <w:sz w:val="21"/>
                      <w:szCs w:val="21"/>
                    </w:rPr>
                    <w:t>中废铅蓄电池仓库区四周设置引流槽，并配套设置一座收集池（1m³），起到泄漏</w:t>
                  </w:r>
                  <w:r>
                    <w:rPr>
                      <w:rFonts w:hint="default" w:ascii="Times New Roman" w:hAnsi="Times New Roman" w:eastAsia="宋体" w:cs="Times New Roman"/>
                      <w:spacing w:val="-8"/>
                      <w:sz w:val="21"/>
                      <w:szCs w:val="21"/>
                    </w:rPr>
                    <w:t>引流收集作用。仓库区中部由南向北设置一条地</w:t>
                  </w:r>
                  <w:r>
                    <w:rPr>
                      <w:rFonts w:hint="default" w:ascii="Times New Roman" w:hAnsi="Times New Roman" w:eastAsia="宋体" w:cs="Times New Roman"/>
                      <w:sz w:val="21"/>
                      <w:szCs w:val="21"/>
                    </w:rPr>
                    <w:t>沟，与事故池连接。</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建设危废库房一座，建筑面积</w:t>
                  </w:r>
                  <w:r>
                    <w:rPr>
                      <w:rFonts w:hint="default" w:ascii="Times New Roman" w:hAnsi="Times New Roman" w:eastAsia="宋体" w:cs="Times New Roman"/>
                      <w:spacing w:val="-6"/>
                      <w:sz w:val="21"/>
                      <w:szCs w:val="21"/>
                    </w:rPr>
                    <w:t>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pacing w:val="-2"/>
                      <w:sz w:val="21"/>
                      <w:szCs w:val="21"/>
                    </w:rPr>
                    <w:t>，地面进行</w:t>
                  </w:r>
                  <w:r>
                    <w:rPr>
                      <w:rFonts w:hint="default" w:ascii="Times New Roman" w:hAnsi="Times New Roman" w:eastAsia="宋体" w:cs="Times New Roman"/>
                      <w:spacing w:val="-6"/>
                      <w:sz w:val="21"/>
                      <w:szCs w:val="21"/>
                    </w:rPr>
                    <w:t>防腐防渗处理</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z w:val="21"/>
                      <w:szCs w:val="21"/>
                    </w:rPr>
                    <w:t>HW08</w:t>
                  </w:r>
                  <w:r>
                    <w:rPr>
                      <w:rFonts w:hint="default" w:ascii="Times New Roman" w:hAnsi="Times New Roman" w:eastAsia="宋体" w:cs="Times New Roman"/>
                      <w:spacing w:val="-15"/>
                      <w:sz w:val="21"/>
                      <w:szCs w:val="21"/>
                    </w:rPr>
                    <w:t>仓库区，宽</w:t>
                  </w:r>
                  <w:r>
                    <w:rPr>
                      <w:rFonts w:hint="default" w:ascii="Times New Roman" w:hAnsi="Times New Roman" w:eastAsia="宋体" w:cs="Times New Roman"/>
                      <w:spacing w:val="-10"/>
                      <w:sz w:val="21"/>
                      <w:szCs w:val="21"/>
                    </w:rPr>
                    <w:t>5m</w:t>
                  </w:r>
                  <w:r>
                    <w:rPr>
                      <w:rFonts w:hint="default" w:ascii="Times New Roman" w:hAnsi="Times New Roman" w:eastAsia="宋体" w:cs="Times New Roman"/>
                      <w:spacing w:val="-21"/>
                      <w:sz w:val="21"/>
                      <w:szCs w:val="21"/>
                    </w:rPr>
                    <w:t>，长</w:t>
                  </w:r>
                  <w:r>
                    <w:rPr>
                      <w:rFonts w:hint="default" w:ascii="Times New Roman" w:hAnsi="Times New Roman" w:eastAsia="宋体" w:cs="Times New Roman"/>
                      <w:sz w:val="21"/>
                      <w:szCs w:val="21"/>
                    </w:rPr>
                    <w:t>10m，</w:t>
                  </w:r>
                  <w:r>
                    <w:rPr>
                      <w:rFonts w:hint="default" w:ascii="Times New Roman" w:hAnsi="Times New Roman" w:eastAsia="宋体" w:cs="Times New Roman"/>
                      <w:spacing w:val="-11"/>
                      <w:sz w:val="21"/>
                      <w:szCs w:val="21"/>
                    </w:rPr>
                    <w:t xml:space="preserve">四周设置 </w:t>
                  </w:r>
                  <w:r>
                    <w:rPr>
                      <w:rFonts w:hint="default" w:ascii="Times New Roman" w:hAnsi="Times New Roman" w:eastAsia="宋体" w:cs="Times New Roman"/>
                      <w:sz w:val="21"/>
                      <w:szCs w:val="21"/>
                    </w:rPr>
                    <w:t>1m</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7"/>
                      <w:sz w:val="21"/>
                      <w:szCs w:val="21"/>
                    </w:rPr>
                    <w:t>高围堰，围堰内四周设有废油引流</w:t>
                  </w:r>
                  <w:r>
                    <w:rPr>
                      <w:rFonts w:hint="default" w:ascii="Times New Roman" w:hAnsi="Times New Roman" w:eastAsia="宋体" w:cs="Times New Roman"/>
                      <w:spacing w:val="-3"/>
                      <w:sz w:val="21"/>
                      <w:szCs w:val="21"/>
                    </w:rPr>
                    <w:t>槽，并配套设置一座收集池</w:t>
                  </w:r>
                  <w:r>
                    <w:rPr>
                      <w:rFonts w:hint="default" w:ascii="Times New Roman" w:hAnsi="Times New Roman" w:eastAsia="宋体" w:cs="Times New Roman"/>
                      <w:sz w:val="21"/>
                      <w:szCs w:val="21"/>
                    </w:rPr>
                    <w:t>(2m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w:t>
                  </w:r>
                  <w:r>
                    <w:rPr>
                      <w:rFonts w:hint="eastAsia" w:ascii="Times New Roman" w:hAnsi="Times New Roman" w:cs="Times New Roman"/>
                      <w:spacing w:val="-4"/>
                      <w:sz w:val="21"/>
                      <w:szCs w:val="21"/>
                      <w:lang w:eastAsia="zh-CN"/>
                    </w:rPr>
                    <w:t>；</w:t>
                  </w:r>
                  <w:r>
                    <w:rPr>
                      <w:rFonts w:hint="default" w:ascii="Times New Roman" w:hAnsi="Times New Roman" w:eastAsia="宋体" w:cs="Times New Roman"/>
                      <w:spacing w:val="-4"/>
                      <w:sz w:val="21"/>
                      <w:szCs w:val="21"/>
                    </w:rPr>
                    <w:t>危废暂存仓库密闭，</w:t>
                  </w:r>
                  <w:r>
                    <w:rPr>
                      <w:rFonts w:hint="default" w:ascii="Times New Roman" w:hAnsi="Times New Roman" w:eastAsia="宋体" w:cs="Times New Roman"/>
                      <w:spacing w:val="-5"/>
                      <w:sz w:val="21"/>
                      <w:szCs w:val="21"/>
                    </w:rPr>
                    <w:t>HW49</w:t>
                  </w:r>
                  <w:r>
                    <w:rPr>
                      <w:rFonts w:hint="default" w:ascii="Times New Roman" w:hAnsi="Times New Roman" w:eastAsia="宋体" w:cs="Times New Roman"/>
                      <w:spacing w:val="-18"/>
                      <w:sz w:val="21"/>
                      <w:szCs w:val="21"/>
                    </w:rPr>
                    <w:t>、</w:t>
                  </w:r>
                  <w:r>
                    <w:rPr>
                      <w:rFonts w:hint="default" w:ascii="Times New Roman" w:hAnsi="Times New Roman" w:eastAsia="宋体" w:cs="Times New Roman"/>
                      <w:sz w:val="21"/>
                      <w:szCs w:val="21"/>
                    </w:rPr>
                    <w:t>HW12</w:t>
                  </w:r>
                  <w:r>
                    <w:rPr>
                      <w:rFonts w:hint="default" w:ascii="Times New Roman" w:hAnsi="Times New Roman" w:eastAsia="宋体" w:cs="Times New Roman"/>
                      <w:spacing w:val="5"/>
                      <w:sz w:val="21"/>
                      <w:szCs w:val="21"/>
                    </w:rPr>
                    <w:t>仓库区为密闭车间，其他仓库区进行分区</w:t>
                  </w:r>
                  <w:r>
                    <w:rPr>
                      <w:rFonts w:hint="eastAsia" w:ascii="Times New Roman" w:hAnsi="Times New Roman" w:cs="Times New Roman"/>
                      <w:spacing w:val="5"/>
                      <w:sz w:val="21"/>
                      <w:szCs w:val="21"/>
                      <w:lang w:eastAsia="zh-CN"/>
                    </w:rPr>
                    <w:t>，</w:t>
                  </w:r>
                  <w:r>
                    <w:rPr>
                      <w:rFonts w:hint="eastAsia" w:ascii="Times New Roman" w:hAnsi="Times New Roman" w:cs="Times New Roman"/>
                      <w:spacing w:val="5"/>
                      <w:sz w:val="21"/>
                      <w:szCs w:val="21"/>
                      <w:lang w:val="en-US" w:eastAsia="zh-CN"/>
                    </w:rPr>
                    <w:t>其中</w:t>
                  </w:r>
                  <w:r>
                    <w:rPr>
                      <w:rFonts w:hint="default" w:ascii="Times New Roman" w:hAnsi="Times New Roman" w:eastAsia="宋体" w:cs="Times New Roman"/>
                      <w:spacing w:val="-5"/>
                      <w:sz w:val="21"/>
                      <w:szCs w:val="21"/>
                    </w:rPr>
                    <w:t>HW</w:t>
                  </w:r>
                  <w:r>
                    <w:rPr>
                      <w:rFonts w:hint="eastAsia" w:ascii="Times New Roman" w:hAnsi="Times New Roman" w:cs="Times New Roman"/>
                      <w:spacing w:val="-5"/>
                      <w:sz w:val="21"/>
                      <w:szCs w:val="21"/>
                      <w:lang w:val="en-US" w:eastAsia="zh-CN"/>
                    </w:rPr>
                    <w:t>15根据国家危险废物名录（2021年版）报废机动车拆解后收集的未引爆的安全气囊不再作为危废管理</w:t>
                  </w:r>
                  <w:r>
                    <w:rPr>
                      <w:rFonts w:hint="eastAsia" w:ascii="Times New Roman" w:hAnsi="Times New Roman" w:cs="Times New Roman"/>
                      <w:spacing w:val="5"/>
                      <w:sz w:val="21"/>
                      <w:szCs w:val="21"/>
                      <w:lang w:eastAsia="zh-CN"/>
                    </w:rPr>
                    <w:t>；</w:t>
                  </w:r>
                  <w:r>
                    <w:rPr>
                      <w:rFonts w:hint="eastAsia" w:ascii="Times New Roman" w:hAnsi="Times New Roman" w:cs="Times New Roman"/>
                      <w:spacing w:val="5"/>
                      <w:sz w:val="21"/>
                      <w:szCs w:val="21"/>
                      <w:lang w:val="en-US" w:eastAsia="zh-CN"/>
                    </w:rPr>
                    <w:t>企业不进行</w:t>
                  </w:r>
                  <w:r>
                    <w:rPr>
                      <w:rFonts w:hint="default" w:ascii="Times New Roman" w:hAnsi="Times New Roman" w:eastAsia="宋体" w:cs="Times New Roman"/>
                      <w:sz w:val="21"/>
                      <w:szCs w:val="21"/>
                    </w:rPr>
                    <w:t>HW49</w:t>
                  </w:r>
                  <w:r>
                    <w:rPr>
                      <w:rFonts w:hint="default" w:ascii="Times New Roman" w:hAnsi="Times New Roman" w:eastAsia="宋体" w:cs="Times New Roman"/>
                      <w:spacing w:val="5"/>
                      <w:sz w:val="21"/>
                      <w:szCs w:val="21"/>
                    </w:rPr>
                    <w:t>中废铅蓄电池</w:t>
                  </w:r>
                  <w:r>
                    <w:rPr>
                      <w:rFonts w:hint="eastAsia" w:ascii="Times New Roman" w:hAnsi="Times New Roman" w:cs="Times New Roman"/>
                      <w:spacing w:val="5"/>
                      <w:sz w:val="21"/>
                      <w:szCs w:val="21"/>
                      <w:lang w:val="en-US" w:eastAsia="zh-CN"/>
                    </w:rPr>
                    <w:t>的暂存与转运；</w:t>
                  </w:r>
                  <w:r>
                    <w:rPr>
                      <w:rFonts w:hint="default" w:ascii="Times New Roman" w:hAnsi="Times New Roman" w:eastAsia="宋体" w:cs="Times New Roman"/>
                      <w:spacing w:val="-8"/>
                      <w:sz w:val="21"/>
                      <w:szCs w:val="21"/>
                    </w:rPr>
                    <w:t>仓库区中部由南向北设置一条地</w:t>
                  </w:r>
                  <w:r>
                    <w:rPr>
                      <w:rFonts w:hint="default" w:ascii="Times New Roman" w:hAnsi="Times New Roman" w:eastAsia="宋体" w:cs="Times New Roman"/>
                      <w:sz w:val="21"/>
                      <w:szCs w:val="21"/>
                    </w:rPr>
                    <w:t>沟，与事故池连接。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运输工程</w:t>
                  </w:r>
                </w:p>
              </w:tc>
              <w:tc>
                <w:tcPr>
                  <w:tcW w:w="48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厂外运输</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委托有运营资质单位对暂存的危险废物进行收集和外运、处置。</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与环评一致</w:t>
                  </w:r>
                  <w:r>
                    <w:rPr>
                      <w:rFonts w:hint="eastAsia" w:ascii="Times New Roman" w:hAnsi="Times New Roman" w:cs="Times New Roman"/>
                      <w:sz w:val="21"/>
                      <w:szCs w:val="21"/>
                      <w:lang w:val="en-US" w:eastAsia="zh-CN"/>
                    </w:rPr>
                    <w:t>，收集和外运、处置合同及资质见附件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27" w:type="pct"/>
                  <w:vMerge w:val="restart"/>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485" w:type="pct"/>
                  <w:tcBorders>
                    <w:top w:val="single" w:color="auto" w:sz="4" w:space="0"/>
                  </w:tcBorders>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消防系统</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移动式灭火器</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48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事故池</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在仓库北侧设置事故水收集池 1 个，事故池长5m，宽 3m，深 2.0m，总容积 30m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restar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48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延长各储油罐</w:t>
                  </w:r>
                  <w:r>
                    <w:rPr>
                      <w:rFonts w:hint="default" w:ascii="Times New Roman" w:hAnsi="Times New Roman" w:eastAsia="宋体" w:cs="Times New Roman"/>
                      <w:sz w:val="21"/>
                      <w:szCs w:val="21"/>
                    </w:rPr>
                    <w:t>（2 个</w:t>
                  </w:r>
                  <w:r>
                    <w:rPr>
                      <w:rFonts w:hint="default" w:ascii="Times New Roman" w:hAnsi="Times New Roman" w:eastAsia="宋体" w:cs="Times New Roman"/>
                      <w:spacing w:val="-18"/>
                      <w:sz w:val="21"/>
                      <w:szCs w:val="21"/>
                    </w:rPr>
                    <w:t>）</w:t>
                  </w:r>
                  <w:r>
                    <w:rPr>
                      <w:rFonts w:hint="default" w:ascii="Times New Roman" w:hAnsi="Times New Roman" w:eastAsia="宋体" w:cs="Times New Roman"/>
                      <w:sz w:val="21"/>
                      <w:szCs w:val="21"/>
                    </w:rPr>
                    <w:t>呼吸口及车载罐灌装口设</w:t>
                  </w:r>
                  <w:r>
                    <w:rPr>
                      <w:rFonts w:hint="default" w:ascii="Times New Roman" w:hAnsi="Times New Roman" w:eastAsia="宋体" w:cs="Times New Roman"/>
                      <w:spacing w:val="-10"/>
                      <w:sz w:val="21"/>
                      <w:szCs w:val="21"/>
                    </w:rPr>
                    <w:t>置密闭集气罩，收集的有机废气均经密闭管网送</w:t>
                  </w:r>
                  <w:r>
                    <w:rPr>
                      <w:rFonts w:hint="default" w:ascii="Times New Roman" w:hAnsi="Times New Roman" w:eastAsia="宋体" w:cs="Times New Roman"/>
                      <w:spacing w:val="-33"/>
                      <w:sz w:val="21"/>
                      <w:szCs w:val="21"/>
                    </w:rPr>
                    <w:t xml:space="preserve">入 </w:t>
                  </w:r>
                  <w:r>
                    <w:rPr>
                      <w:rFonts w:hint="default" w:ascii="Times New Roman" w:hAnsi="Times New Roman" w:eastAsia="宋体" w:cs="Times New Roman"/>
                      <w:sz w:val="21"/>
                      <w:szCs w:val="21"/>
                    </w:rPr>
                    <w:t>1</w:t>
                  </w:r>
                  <w:r>
                    <w:rPr>
                      <w:rFonts w:hint="default" w:ascii="Times New Roman" w:hAnsi="Times New Roman" w:eastAsia="宋体" w:cs="Times New Roman"/>
                      <w:spacing w:val="-10"/>
                      <w:sz w:val="21"/>
                      <w:szCs w:val="21"/>
                    </w:rPr>
                    <w:t xml:space="preserve"> 套 UV 光氧+两级活性炭装置</w:t>
                  </w:r>
                  <w:r>
                    <w:rPr>
                      <w:rFonts w:hint="default" w:ascii="Times New Roman" w:hAnsi="Times New Roman" w:eastAsia="宋体" w:cs="Times New Roman"/>
                      <w:sz w:val="21"/>
                      <w:szCs w:val="21"/>
                    </w:rPr>
                    <w:t>，经净化</w:t>
                  </w:r>
                  <w:r>
                    <w:rPr>
                      <w:rFonts w:hint="default" w:ascii="Times New Roman" w:hAnsi="Times New Roman" w:eastAsia="宋体" w:cs="Times New Roman"/>
                      <w:spacing w:val="-8"/>
                      <w:sz w:val="21"/>
                      <w:szCs w:val="21"/>
                    </w:rPr>
                    <w:t xml:space="preserve">处理后废气由 </w:t>
                  </w:r>
                  <w:r>
                    <w:rPr>
                      <w:rFonts w:hint="default" w:ascii="Times New Roman" w:hAnsi="Times New Roman" w:eastAsia="宋体" w:cs="Times New Roman"/>
                      <w:sz w:val="21"/>
                      <w:szCs w:val="21"/>
                    </w:rPr>
                    <w:t xml:space="preserve">1 </w:t>
                  </w:r>
                  <w:r>
                    <w:rPr>
                      <w:rFonts w:hint="default" w:ascii="Times New Roman" w:hAnsi="Times New Roman" w:eastAsia="宋体" w:cs="Times New Roman"/>
                      <w:spacing w:val="-28"/>
                      <w:sz w:val="21"/>
                      <w:szCs w:val="21"/>
                    </w:rPr>
                    <w:t xml:space="preserve">根 </w:t>
                  </w:r>
                  <w:r>
                    <w:rPr>
                      <w:rFonts w:hint="default" w:ascii="Times New Roman" w:hAnsi="Times New Roman" w:eastAsia="宋体" w:cs="Times New Roman"/>
                      <w:sz w:val="21"/>
                      <w:szCs w:val="21"/>
                    </w:rPr>
                    <w:t xml:space="preserve">15m 高排气筒（P2）排放；HW12 </w:t>
                  </w:r>
                  <w:r>
                    <w:rPr>
                      <w:rFonts w:hint="default" w:ascii="Times New Roman" w:hAnsi="Times New Roman" w:eastAsia="宋体" w:cs="Times New Roman"/>
                      <w:spacing w:val="-28"/>
                      <w:sz w:val="21"/>
                      <w:szCs w:val="21"/>
                    </w:rPr>
                    <w:t xml:space="preserve">和 </w:t>
                  </w:r>
                  <w:r>
                    <w:rPr>
                      <w:rFonts w:hint="default" w:ascii="Times New Roman" w:hAnsi="Times New Roman" w:eastAsia="宋体" w:cs="Times New Roman"/>
                      <w:spacing w:val="-6"/>
                      <w:sz w:val="21"/>
                      <w:szCs w:val="21"/>
                    </w:rPr>
                    <w:t>HW49（</w:t>
                  </w:r>
                  <w:r>
                    <w:rPr>
                      <w:rFonts w:hint="default" w:ascii="Times New Roman" w:hAnsi="Times New Roman" w:eastAsia="宋体" w:cs="Times New Roman"/>
                      <w:sz w:val="21"/>
                      <w:szCs w:val="21"/>
                    </w:rPr>
                    <w:t>除废铅蓄电池</w:t>
                  </w:r>
                  <w:r>
                    <w:rPr>
                      <w:rFonts w:hint="default" w:ascii="Times New Roman" w:hAnsi="Times New Roman" w:eastAsia="宋体" w:cs="Times New Roman"/>
                      <w:spacing w:val="-27"/>
                      <w:sz w:val="21"/>
                      <w:szCs w:val="21"/>
                    </w:rPr>
                    <w:t>）</w:t>
                  </w:r>
                  <w:r>
                    <w:rPr>
                      <w:rFonts w:hint="default" w:ascii="Times New Roman" w:hAnsi="Times New Roman" w:eastAsia="宋体" w:cs="Times New Roman"/>
                      <w:sz w:val="21"/>
                      <w:szCs w:val="21"/>
                    </w:rPr>
                    <w:t>仓库区设计换</w:t>
                  </w:r>
                  <w:r>
                    <w:rPr>
                      <w:rFonts w:hint="default" w:ascii="Times New Roman" w:hAnsi="Times New Roman" w:eastAsia="宋体" w:cs="Times New Roman"/>
                      <w:spacing w:val="-11"/>
                      <w:sz w:val="21"/>
                      <w:szCs w:val="21"/>
                    </w:rPr>
                    <w:t xml:space="preserve">风次数为 </w:t>
                  </w:r>
                  <w:r>
                    <w:rPr>
                      <w:rFonts w:hint="default" w:ascii="Times New Roman" w:hAnsi="Times New Roman" w:eastAsia="宋体" w:cs="Times New Roman"/>
                      <w:sz w:val="21"/>
                      <w:szCs w:val="21"/>
                    </w:rPr>
                    <w:t>8 次/h，废气经风机与经管道收集的HW08</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7"/>
                      <w:sz w:val="21"/>
                      <w:szCs w:val="21"/>
                    </w:rPr>
                    <w:t xml:space="preserve">储罐废气，共同经 </w:t>
                  </w:r>
                  <w:r>
                    <w:rPr>
                      <w:rFonts w:hint="default" w:ascii="Times New Roman" w:hAnsi="Times New Roman" w:eastAsia="宋体" w:cs="Times New Roman"/>
                      <w:sz w:val="21"/>
                      <w:szCs w:val="21"/>
                    </w:rPr>
                    <w:t>1</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pacing w:val="-28"/>
                      <w:sz w:val="21"/>
                      <w:szCs w:val="21"/>
                    </w:rPr>
                    <w:t xml:space="preserve">套 </w:t>
                  </w:r>
                  <w:r>
                    <w:rPr>
                      <w:rFonts w:hint="default" w:ascii="Times New Roman" w:hAnsi="Times New Roman" w:eastAsia="宋体" w:cs="Times New Roman"/>
                      <w:sz w:val="21"/>
                      <w:szCs w:val="21"/>
                    </w:rPr>
                    <w:t>UV 光氧+两级活性炭装置+15m</w:t>
                  </w:r>
                  <w:r>
                    <w:rPr>
                      <w:rFonts w:hint="default" w:ascii="Times New Roman" w:hAnsi="Times New Roman" w:eastAsia="宋体" w:cs="Times New Roman"/>
                      <w:spacing w:val="5"/>
                      <w:sz w:val="21"/>
                      <w:szCs w:val="21"/>
                    </w:rPr>
                    <w:t xml:space="preserve">    </w:t>
                  </w:r>
                  <w:r>
                    <w:rPr>
                      <w:rFonts w:hint="default" w:ascii="Times New Roman" w:hAnsi="Times New Roman" w:eastAsia="宋体" w:cs="Times New Roman"/>
                      <w:sz w:val="21"/>
                      <w:szCs w:val="21"/>
                    </w:rPr>
                    <w:t>高排气筒（P2）排放； HW49</w:t>
                  </w:r>
                  <w:r>
                    <w:rPr>
                      <w:rFonts w:hint="default" w:ascii="Times New Roman" w:hAnsi="Times New Roman" w:eastAsia="宋体" w:cs="Times New Roman"/>
                      <w:spacing w:val="-5"/>
                      <w:sz w:val="21"/>
                      <w:szCs w:val="21"/>
                    </w:rPr>
                    <w:t xml:space="preserve"> </w:t>
                  </w:r>
                  <w:r>
                    <w:rPr>
                      <w:rFonts w:hint="default" w:ascii="Times New Roman" w:hAnsi="Times New Roman" w:eastAsia="宋体" w:cs="Times New Roman"/>
                      <w:spacing w:val="-7"/>
                      <w:sz w:val="21"/>
                      <w:szCs w:val="21"/>
                    </w:rPr>
                    <w:t xml:space="preserve">废铅蓄电池仓库区设计换风次数为 </w:t>
                  </w:r>
                  <w:r>
                    <w:rPr>
                      <w:rFonts w:hint="default" w:ascii="Times New Roman" w:hAnsi="Times New Roman" w:eastAsia="宋体" w:cs="Times New Roman"/>
                      <w:sz w:val="21"/>
                      <w:szCs w:val="21"/>
                    </w:rPr>
                    <w:t>10</w:t>
                  </w:r>
                  <w:r>
                    <w:rPr>
                      <w:rFonts w:hint="default" w:ascii="Times New Roman" w:hAnsi="Times New Roman" w:eastAsia="宋体" w:cs="Times New Roman"/>
                      <w:spacing w:val="-4"/>
                      <w:sz w:val="21"/>
                      <w:szCs w:val="21"/>
                    </w:rPr>
                    <w:t xml:space="preserve"> </w:t>
                  </w:r>
                  <w:r>
                    <w:rPr>
                      <w:rFonts w:hint="default" w:ascii="Times New Roman" w:hAnsi="Times New Roman" w:eastAsia="宋体" w:cs="Times New Roman"/>
                      <w:sz w:val="21"/>
                      <w:szCs w:val="21"/>
                    </w:rPr>
                    <w:t>次/h，设1 套碱洗塔+15m 排气筒（P3）排放。</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rPr>
                    <w:t>储油罐</w:t>
                  </w:r>
                  <w:r>
                    <w:rPr>
                      <w:rFonts w:hint="default" w:ascii="Times New Roman" w:hAnsi="Times New Roman" w:eastAsia="宋体" w:cs="Times New Roman"/>
                      <w:sz w:val="21"/>
                      <w:szCs w:val="21"/>
                    </w:rPr>
                    <w:t>（2 个</w:t>
                  </w:r>
                  <w:r>
                    <w:rPr>
                      <w:rFonts w:hint="default" w:ascii="Times New Roman" w:hAnsi="Times New Roman" w:eastAsia="宋体" w:cs="Times New Roman"/>
                      <w:spacing w:val="-18"/>
                      <w:sz w:val="21"/>
                      <w:szCs w:val="21"/>
                    </w:rPr>
                    <w:t>）</w:t>
                  </w:r>
                  <w:r>
                    <w:rPr>
                      <w:rFonts w:hint="default" w:ascii="Times New Roman" w:hAnsi="Times New Roman" w:eastAsia="宋体" w:cs="Times New Roman"/>
                      <w:sz w:val="21"/>
                      <w:szCs w:val="21"/>
                    </w:rPr>
                    <w:t>呼吸口及车载罐灌装口</w:t>
                  </w:r>
                  <w:r>
                    <w:rPr>
                      <w:rFonts w:hint="eastAsia" w:ascii="Times New Roman" w:hAnsi="Times New Roman" w:cs="Times New Roman"/>
                      <w:sz w:val="21"/>
                      <w:szCs w:val="21"/>
                      <w:lang w:val="en-US" w:eastAsia="zh-CN"/>
                    </w:rPr>
                    <w:t>顶部</w:t>
                  </w:r>
                  <w:r>
                    <w:rPr>
                      <w:rFonts w:hint="default" w:ascii="Times New Roman" w:hAnsi="Times New Roman" w:eastAsia="宋体" w:cs="Times New Roman"/>
                      <w:sz w:val="21"/>
                      <w:szCs w:val="21"/>
                    </w:rPr>
                    <w:t>设</w:t>
                  </w:r>
                  <w:r>
                    <w:rPr>
                      <w:rFonts w:hint="default" w:ascii="Times New Roman" w:hAnsi="Times New Roman" w:eastAsia="宋体" w:cs="Times New Roman"/>
                      <w:spacing w:val="-10"/>
                      <w:sz w:val="21"/>
                      <w:szCs w:val="21"/>
                    </w:rPr>
                    <w:t>置集气罩</w:t>
                  </w:r>
                  <w:r>
                    <w:rPr>
                      <w:rFonts w:hint="eastAsia" w:ascii="Times New Roman" w:hAnsi="Times New Roman" w:cs="Times New Roman"/>
                      <w:spacing w:val="-10"/>
                      <w:sz w:val="21"/>
                      <w:szCs w:val="21"/>
                      <w:lang w:eastAsia="zh-CN"/>
                    </w:rPr>
                    <w:t>，</w:t>
                  </w:r>
                  <w:r>
                    <w:rPr>
                      <w:rFonts w:hint="eastAsia" w:ascii="Times New Roman" w:hAnsi="Times New Roman" w:cs="Times New Roman"/>
                      <w:spacing w:val="-10"/>
                      <w:sz w:val="21"/>
                      <w:szCs w:val="21"/>
                      <w:lang w:val="en-US" w:eastAsia="zh-CN"/>
                    </w:rPr>
                    <w:t>收集的有机废气</w:t>
                  </w:r>
                  <w:r>
                    <w:rPr>
                      <w:rFonts w:hint="default" w:ascii="Times New Roman" w:hAnsi="Times New Roman" w:eastAsia="宋体" w:cs="Times New Roman"/>
                      <w:spacing w:val="-10"/>
                      <w:sz w:val="21"/>
                      <w:szCs w:val="21"/>
                    </w:rPr>
                    <w:t>经</w:t>
                  </w:r>
                  <w:r>
                    <w:rPr>
                      <w:rFonts w:hint="eastAsia" w:ascii="Times New Roman" w:hAnsi="Times New Roman" w:cs="Times New Roman"/>
                      <w:spacing w:val="-10"/>
                      <w:sz w:val="21"/>
                      <w:szCs w:val="21"/>
                      <w:lang w:val="en-US" w:eastAsia="zh-CN"/>
                    </w:rPr>
                    <w:t>管道</w:t>
                  </w:r>
                  <w:r>
                    <w:rPr>
                      <w:rFonts w:hint="default" w:ascii="Times New Roman" w:hAnsi="Times New Roman" w:eastAsia="宋体" w:cs="Times New Roman"/>
                      <w:spacing w:val="-10"/>
                      <w:sz w:val="21"/>
                      <w:szCs w:val="21"/>
                    </w:rPr>
                    <w:t>送</w:t>
                  </w:r>
                  <w:r>
                    <w:rPr>
                      <w:rFonts w:hint="default" w:ascii="Times New Roman" w:hAnsi="Times New Roman" w:eastAsia="宋体" w:cs="Times New Roman"/>
                      <w:spacing w:val="-33"/>
                      <w:sz w:val="21"/>
                      <w:szCs w:val="21"/>
                    </w:rPr>
                    <w:t xml:space="preserve">入 </w:t>
                  </w:r>
                  <w:r>
                    <w:rPr>
                      <w:rFonts w:hint="default" w:ascii="Times New Roman" w:hAnsi="Times New Roman" w:eastAsia="宋体" w:cs="Times New Roman"/>
                      <w:sz w:val="21"/>
                      <w:szCs w:val="21"/>
                    </w:rPr>
                    <w:t>1</w:t>
                  </w:r>
                  <w:r>
                    <w:rPr>
                      <w:rFonts w:hint="default" w:ascii="Times New Roman" w:hAnsi="Times New Roman" w:eastAsia="宋体" w:cs="Times New Roman"/>
                      <w:spacing w:val="-10"/>
                      <w:sz w:val="21"/>
                      <w:szCs w:val="21"/>
                    </w:rPr>
                    <w:t xml:space="preserve"> 套 </w:t>
                  </w:r>
                  <w:r>
                    <w:rPr>
                      <w:rFonts w:hint="default" w:ascii="Times New Roman" w:hAnsi="Times New Roman" w:eastAsia="宋体" w:cs="Times New Roman"/>
                      <w:color w:val="auto"/>
                      <w:spacing w:val="-10"/>
                      <w:sz w:val="21"/>
                      <w:szCs w:val="21"/>
                      <w:lang w:val="en-US" w:eastAsia="zh-CN"/>
                    </w:rPr>
                    <w:t>等离子净化器+两级活性炭吸附装置</w:t>
                  </w:r>
                  <w:r>
                    <w:rPr>
                      <w:rFonts w:hint="default" w:ascii="Times New Roman" w:hAnsi="Times New Roman" w:eastAsia="宋体" w:cs="Times New Roman"/>
                      <w:spacing w:val="-10"/>
                      <w:sz w:val="21"/>
                      <w:szCs w:val="21"/>
                    </w:rPr>
                    <w:t>装置</w:t>
                  </w:r>
                  <w:r>
                    <w:rPr>
                      <w:rFonts w:hint="default" w:ascii="Times New Roman" w:hAnsi="Times New Roman" w:eastAsia="宋体" w:cs="Times New Roman"/>
                      <w:sz w:val="21"/>
                      <w:szCs w:val="21"/>
                    </w:rPr>
                    <w:t>，经净化</w:t>
                  </w:r>
                  <w:r>
                    <w:rPr>
                      <w:rFonts w:hint="default" w:ascii="Times New Roman" w:hAnsi="Times New Roman" w:eastAsia="宋体" w:cs="Times New Roman"/>
                      <w:spacing w:val="-8"/>
                      <w:sz w:val="21"/>
                      <w:szCs w:val="21"/>
                    </w:rPr>
                    <w:t xml:space="preserve">处理后废气由 </w:t>
                  </w:r>
                  <w:r>
                    <w:rPr>
                      <w:rFonts w:hint="default" w:ascii="Times New Roman" w:hAnsi="Times New Roman" w:eastAsia="宋体" w:cs="Times New Roman"/>
                      <w:sz w:val="21"/>
                      <w:szCs w:val="21"/>
                    </w:rPr>
                    <w:t xml:space="preserve">1 </w:t>
                  </w:r>
                  <w:r>
                    <w:rPr>
                      <w:rFonts w:hint="default" w:ascii="Times New Roman" w:hAnsi="Times New Roman" w:eastAsia="宋体" w:cs="Times New Roman"/>
                      <w:spacing w:val="-28"/>
                      <w:sz w:val="21"/>
                      <w:szCs w:val="21"/>
                    </w:rPr>
                    <w:t xml:space="preserve">根 </w:t>
                  </w:r>
                  <w:r>
                    <w:rPr>
                      <w:rFonts w:hint="default" w:ascii="Times New Roman" w:hAnsi="Times New Roman" w:eastAsia="宋体" w:cs="Times New Roman"/>
                      <w:sz w:val="21"/>
                      <w:szCs w:val="21"/>
                    </w:rPr>
                    <w:t xml:space="preserve">15m 高排气筒（P2）排放；HW12 </w:t>
                  </w:r>
                  <w:r>
                    <w:rPr>
                      <w:rFonts w:hint="default" w:ascii="Times New Roman" w:hAnsi="Times New Roman" w:eastAsia="宋体" w:cs="Times New Roman"/>
                      <w:spacing w:val="-28"/>
                      <w:sz w:val="21"/>
                      <w:szCs w:val="21"/>
                    </w:rPr>
                    <w:t xml:space="preserve">和 </w:t>
                  </w:r>
                  <w:r>
                    <w:rPr>
                      <w:rFonts w:hint="default" w:ascii="Times New Roman" w:hAnsi="Times New Roman" w:eastAsia="宋体" w:cs="Times New Roman"/>
                      <w:spacing w:val="-6"/>
                      <w:sz w:val="21"/>
                      <w:szCs w:val="21"/>
                    </w:rPr>
                    <w:t>HW49</w:t>
                  </w:r>
                  <w:r>
                    <w:rPr>
                      <w:rFonts w:hint="default" w:ascii="Times New Roman" w:hAnsi="Times New Roman" w:eastAsia="宋体" w:cs="Times New Roman"/>
                      <w:sz w:val="21"/>
                      <w:szCs w:val="21"/>
                    </w:rPr>
                    <w:t>仓库</w:t>
                  </w:r>
                  <w:r>
                    <w:rPr>
                      <w:rFonts w:hint="default" w:ascii="Times New Roman" w:hAnsi="Times New Roman" w:eastAsia="宋体" w:cs="Times New Roman"/>
                      <w:color w:val="auto"/>
                      <w:sz w:val="21"/>
                      <w:szCs w:val="21"/>
                    </w:rPr>
                    <w:t>区换</w:t>
                  </w:r>
                  <w:r>
                    <w:rPr>
                      <w:rFonts w:hint="default" w:ascii="Times New Roman" w:hAnsi="Times New Roman" w:eastAsia="宋体" w:cs="Times New Roman"/>
                      <w:color w:val="auto"/>
                      <w:spacing w:val="-11"/>
                      <w:sz w:val="21"/>
                      <w:szCs w:val="21"/>
                    </w:rPr>
                    <w:t xml:space="preserve">风次数为 </w:t>
                  </w:r>
                  <w:r>
                    <w:rPr>
                      <w:rFonts w:hint="default" w:ascii="Times New Roman" w:hAnsi="Times New Roman" w:eastAsia="宋体" w:cs="Times New Roman"/>
                      <w:color w:val="auto"/>
                      <w:sz w:val="21"/>
                      <w:szCs w:val="21"/>
                    </w:rPr>
                    <w:t>8 次/h，废气经风机与经管道</w:t>
                  </w:r>
                  <w:r>
                    <w:rPr>
                      <w:rFonts w:hint="default" w:ascii="Times New Roman" w:hAnsi="Times New Roman" w:eastAsia="宋体" w:cs="Times New Roman"/>
                      <w:sz w:val="21"/>
                      <w:szCs w:val="21"/>
                    </w:rPr>
                    <w:t>收集的HW08</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7"/>
                      <w:sz w:val="21"/>
                      <w:szCs w:val="21"/>
                    </w:rPr>
                    <w:t>储罐废气，</w:t>
                  </w:r>
                  <w:r>
                    <w:rPr>
                      <w:rFonts w:hint="default" w:ascii="Times New Roman" w:hAnsi="Times New Roman" w:eastAsia="宋体" w:cs="Times New Roman"/>
                      <w:color w:val="auto"/>
                      <w:spacing w:val="-7"/>
                      <w:sz w:val="21"/>
                      <w:szCs w:val="21"/>
                    </w:rPr>
                    <w:t xml:space="preserve">共同经 </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color w:val="auto"/>
                      <w:spacing w:val="-28"/>
                      <w:sz w:val="21"/>
                      <w:szCs w:val="21"/>
                    </w:rPr>
                    <w:t xml:space="preserve">套 </w:t>
                  </w:r>
                  <w:r>
                    <w:rPr>
                      <w:rFonts w:hint="default" w:ascii="Times New Roman" w:hAnsi="Times New Roman" w:eastAsia="宋体" w:cs="Times New Roman"/>
                      <w:color w:val="auto"/>
                      <w:spacing w:val="-28"/>
                      <w:sz w:val="21"/>
                      <w:szCs w:val="21"/>
                      <w:lang w:val="en-US" w:eastAsia="zh-CN"/>
                    </w:rPr>
                    <w:t>等离子净化器+两级活性炭吸附装置</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pacing w:val="5"/>
                      <w:sz w:val="21"/>
                      <w:szCs w:val="21"/>
                    </w:rPr>
                    <w:t xml:space="preserve"> </w:t>
                  </w:r>
                  <w:r>
                    <w:rPr>
                      <w:rFonts w:hint="default" w:ascii="Times New Roman" w:hAnsi="Times New Roman" w:eastAsia="宋体" w:cs="Times New Roman"/>
                      <w:sz w:val="21"/>
                      <w:szCs w:val="21"/>
                    </w:rPr>
                    <w:t>高排气筒（P2）排放；</w:t>
                  </w:r>
                  <w:r>
                    <w:rPr>
                      <w:rFonts w:hint="default" w:ascii="Times New Roman" w:hAnsi="Times New Roman" w:eastAsia="宋体" w:cs="Times New Roman"/>
                      <w:color w:val="auto"/>
                      <w:spacing w:val="-10"/>
                      <w:sz w:val="21"/>
                      <w:szCs w:val="21"/>
                      <w:lang w:val="en-US" w:eastAsia="zh-CN"/>
                    </w:rPr>
                    <w:t>项目不再进行废铅酸蓄电池的贮存及转运，不再进行配套的废气治理设施建设</w:t>
                  </w:r>
                  <w:r>
                    <w:rPr>
                      <w:rFonts w:hint="eastAsia" w:ascii="Times New Roman" w:hAnsi="Times New Roman" w:cs="Times New Roman"/>
                      <w:color w:val="auto"/>
                      <w:spacing w:val="-1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485" w:type="pct"/>
                  <w:vMerge w:val="restar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废活性炭、废抹布、碱洗塔产生的碱液、废电解液、废劳保用品、清罐油泥、废塑料箱暂存于本项目新建危废暂存间（30m</w:t>
                  </w:r>
                  <w:r>
                    <w:rPr>
                      <w:rFonts w:hint="default" w:ascii="Times New Roman" w:hAnsi="Times New Roman" w:eastAsia="宋体" w:cs="Times New Roman"/>
                      <w:spacing w:val="-11"/>
                      <w:sz w:val="21"/>
                      <w:szCs w:val="21"/>
                      <w:vertAlign w:val="superscript"/>
                      <w:lang w:val="en-US" w:eastAsia="zh-CN"/>
                    </w:rPr>
                    <w:t>2</w:t>
                  </w:r>
                  <w:r>
                    <w:rPr>
                      <w:rFonts w:hint="default" w:ascii="Times New Roman" w:hAnsi="Times New Roman" w:eastAsia="宋体" w:cs="Times New Roman"/>
                      <w:spacing w:val="-11"/>
                      <w:sz w:val="21"/>
                      <w:szCs w:val="21"/>
                    </w:rPr>
                    <w:t>），定期委托有资</w:t>
                  </w:r>
                  <w:r>
                    <w:rPr>
                      <w:rFonts w:hint="default" w:ascii="Times New Roman" w:hAnsi="Times New Roman" w:eastAsia="宋体" w:cs="Times New Roman"/>
                      <w:sz w:val="21"/>
                      <w:szCs w:val="21"/>
                    </w:rPr>
                    <w:t>质单位处置。</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废活性炭、废抹布、废劳保用品、清罐油泥、废塑料箱暂存于本项目新建危废暂存间，定期委托有资质单位处置。</w:t>
                  </w:r>
                  <w:r>
                    <w:rPr>
                      <w:rFonts w:hint="eastAsia" w:ascii="Times New Roman" w:hAnsi="Times New Roman" w:cs="Times New Roman"/>
                      <w:sz w:val="21"/>
                      <w:szCs w:val="21"/>
                      <w:lang w:val="en-US" w:eastAsia="zh-CN"/>
                    </w:rPr>
                    <w:t>（危废处置合同、处置资质见附件）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485"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项目不新增员工，无新增生活垃圾产生</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48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噪声治理</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消声、低噪设备等</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项目采取选用低噪声设备，设置基础减振，将输油泵设备置于车间内，再经围墙隔声、距离衰减等措施降噪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48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w:t>
                  </w:r>
                </w:p>
              </w:tc>
              <w:tc>
                <w:tcPr>
                  <w:tcW w:w="2165"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加强地面防渗。</w:t>
                  </w:r>
                  <w:r>
                    <w:rPr>
                      <w:rFonts w:hint="default" w:ascii="Times New Roman" w:hAnsi="Times New Roman" w:eastAsia="宋体" w:cs="Times New Roman"/>
                      <w:spacing w:val="-10"/>
                      <w:sz w:val="21"/>
                      <w:szCs w:val="21"/>
                    </w:rPr>
                    <w:t>事故工况时，废铅酸电瓶破损、废矿物油储罐泄漏的废液经仓库内地面设置的引流槽收集分别</w:t>
                  </w:r>
                  <w:r>
                    <w:rPr>
                      <w:rFonts w:hint="default" w:ascii="Times New Roman" w:hAnsi="Times New Roman" w:eastAsia="宋体" w:cs="Times New Roman"/>
                      <w:sz w:val="21"/>
                      <w:szCs w:val="21"/>
                    </w:rPr>
                    <w:t>进入各自的收集池，后转入有资质单位处理。</w:t>
                  </w:r>
                </w:p>
              </w:tc>
              <w:tc>
                <w:tcPr>
                  <w:tcW w:w="202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根据企业施工方案（保定安邦建筑装饰工程有限公司），厂区内库房地面、水池、地沟采用三布七油防腐、防渗措施</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企业按要求已编制完成《突发环境事件应急预案》（保定绿源环保服务有限公司），并于2020年10月28日备案，备案编号：130635-2020-032L</w:t>
                  </w:r>
                </w:p>
              </w:tc>
            </w:tr>
          </w:tbl>
          <w:p>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eastAsiaTheme="minorEastAsia"/>
                <w:sz w:val="24"/>
                <w:szCs w:val="24"/>
              </w:rPr>
            </w:pPr>
          </w:p>
        </w:tc>
      </w:tr>
    </w:tbl>
    <w:p>
      <w:pPr>
        <w:pStyle w:val="24"/>
        <w:sectPr>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cs="Times New Roman" w:eastAsiaTheme="minorEastAsia"/>
          <w:b/>
          <w:color w:val="000000"/>
          <w:sz w:val="21"/>
          <w:szCs w:val="21"/>
        </w:rPr>
      </w:pPr>
      <w:r>
        <w:rPr>
          <w:rFonts w:hint="eastAsia" w:ascii="Times New Roman" w:cs="Times New Roman" w:hAnsiTheme="minorEastAsia" w:eastAsiaTheme="minorEastAsia"/>
          <w:b/>
          <w:color w:val="000000"/>
          <w:sz w:val="28"/>
          <w:szCs w:val="28"/>
          <w:lang w:val="en-US" w:eastAsia="zh-CN"/>
        </w:rPr>
        <w:t>续</w:t>
      </w:r>
      <w:r>
        <w:rPr>
          <w:rFonts w:ascii="Times New Roman" w:cs="Times New Roman" w:hAnsiTheme="minorEastAsia" w:eastAsiaTheme="minorEastAsia"/>
          <w:b/>
          <w:color w:val="000000"/>
          <w:sz w:val="28"/>
          <w:szCs w:val="28"/>
        </w:rPr>
        <w:t>表二</w:t>
      </w:r>
    </w:p>
    <w:tbl>
      <w:tblPr>
        <w:tblStyle w:val="19"/>
        <w:tblW w:w="98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8" w:hRule="atLeast"/>
          <w:jc w:val="center"/>
        </w:trPr>
        <w:tc>
          <w:tcPr>
            <w:tcW w:w="9833" w:type="dxa"/>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b/>
                <w:bCs w:val="0"/>
                <w:color w:val="000000"/>
                <w:sz w:val="24"/>
                <w:szCs w:val="24"/>
                <w:lang w:val="en-US" w:eastAsia="zh-CN"/>
              </w:rPr>
            </w:pPr>
            <w:r>
              <w:rPr>
                <w:rFonts w:hint="eastAsia" w:ascii="宋体" w:hAnsi="宋体" w:eastAsia="宋体"/>
                <w:b/>
                <w:bCs w:val="0"/>
                <w:color w:val="000000"/>
                <w:sz w:val="24"/>
                <w:szCs w:val="24"/>
                <w:lang w:eastAsia="zh-CN"/>
              </w:rPr>
              <w:t>表</w:t>
            </w:r>
            <w:r>
              <w:rPr>
                <w:rFonts w:hint="eastAsia" w:ascii="宋体" w:hAnsi="宋体" w:eastAsia="宋体"/>
                <w:b/>
                <w:bCs w:val="0"/>
                <w:color w:val="000000"/>
                <w:sz w:val="24"/>
                <w:szCs w:val="24"/>
                <w:lang w:val="en-US" w:eastAsia="zh-CN"/>
              </w:rPr>
              <w:t>2  建设内容一览表</w:t>
            </w:r>
          </w:p>
          <w:tbl>
            <w:tblPr>
              <w:tblStyle w:val="19"/>
              <w:tblW w:w="96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5"/>
              <w:gridCol w:w="934"/>
              <w:gridCol w:w="4168"/>
              <w:gridCol w:w="3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4" w:type="pct"/>
                  <w:vMerge w:val="restar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工程类型</w:t>
                  </w:r>
                </w:p>
              </w:tc>
              <w:tc>
                <w:tcPr>
                  <w:tcW w:w="2645" w:type="pct"/>
                  <w:gridSpan w:val="2"/>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扩建项目补充说明</w:t>
                  </w:r>
                </w:p>
              </w:tc>
              <w:tc>
                <w:tcPr>
                  <w:tcW w:w="2017"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324" w:type="pct"/>
                  <w:vMerge w:val="continue"/>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p>
              </w:tc>
              <w:tc>
                <w:tcPr>
                  <w:tcW w:w="484"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216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工程内容</w:t>
                  </w:r>
                </w:p>
              </w:tc>
              <w:tc>
                <w:tcPr>
                  <w:tcW w:w="2017"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3" w:hRule="atLeast"/>
                <w:jc w:val="center"/>
              </w:trPr>
              <w:tc>
                <w:tcPr>
                  <w:tcW w:w="324"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484"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2161"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治理措施调整：①原储罐区废气经“储罐呼吸口延长＋车载罐灌装口设置密闭集气罩＋密闭管网＋UV光催化氧化＋两级活性炭吸附装置”，废气经净化处理后经1根15m高排气筒排放；现变更为“储罐呼吸口延长＋车载罐灌装口设置密闭集气罩＋密闭管网＋等离子净化器＋两级活性炭吸附装置”，废气经净化处理后经1根15m高排气筒排放。</w:t>
                  </w:r>
                </w:p>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原HW12、HW49(废铅蓄电池除外）类危废仓库产生的废气经“密闭微负压＋集气管道＋UV光催化氧化＋两级活性炭吸附装置”，废气经净化处理后经1根15m高排气筒排放；现变更为废气经“密闭微负压＋集气管道＋等离子净化器＋两级活性炭吸附装置”，废气经净化处理后经1根15m高排气筒排放。</w:t>
                  </w:r>
                </w:p>
              </w:tc>
              <w:tc>
                <w:tcPr>
                  <w:tcW w:w="2017" w:type="pct"/>
                  <w:vAlign w:val="center"/>
                </w:tcPr>
                <w:p>
                  <w:pPr>
                    <w:pStyle w:val="5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3"/>
                      <w:sz w:val="21"/>
                      <w:szCs w:val="21"/>
                    </w:rPr>
                    <w:t>储油罐</w:t>
                  </w:r>
                  <w:r>
                    <w:rPr>
                      <w:rFonts w:hint="default" w:ascii="Times New Roman" w:hAnsi="Times New Roman" w:eastAsia="宋体" w:cs="Times New Roman"/>
                      <w:sz w:val="21"/>
                      <w:szCs w:val="21"/>
                    </w:rPr>
                    <w:t>（2 个</w:t>
                  </w:r>
                  <w:r>
                    <w:rPr>
                      <w:rFonts w:hint="default" w:ascii="Times New Roman" w:hAnsi="Times New Roman" w:eastAsia="宋体" w:cs="Times New Roman"/>
                      <w:spacing w:val="-18"/>
                      <w:sz w:val="21"/>
                      <w:szCs w:val="21"/>
                    </w:rPr>
                    <w:t>）</w:t>
                  </w:r>
                  <w:r>
                    <w:rPr>
                      <w:rFonts w:hint="default" w:ascii="Times New Roman" w:hAnsi="Times New Roman" w:eastAsia="宋体" w:cs="Times New Roman"/>
                      <w:sz w:val="21"/>
                      <w:szCs w:val="21"/>
                    </w:rPr>
                    <w:t>呼吸口及车载罐灌装口</w:t>
                  </w:r>
                  <w:r>
                    <w:rPr>
                      <w:rFonts w:hint="eastAsia" w:ascii="Times New Roman" w:hAnsi="Times New Roman" w:cs="Times New Roman"/>
                      <w:sz w:val="21"/>
                      <w:szCs w:val="21"/>
                      <w:lang w:val="en-US" w:eastAsia="zh-CN"/>
                    </w:rPr>
                    <w:t>顶部</w:t>
                  </w:r>
                  <w:r>
                    <w:rPr>
                      <w:rFonts w:hint="default" w:ascii="Times New Roman" w:hAnsi="Times New Roman" w:eastAsia="宋体" w:cs="Times New Roman"/>
                      <w:sz w:val="21"/>
                      <w:szCs w:val="21"/>
                    </w:rPr>
                    <w:t>设</w:t>
                  </w:r>
                  <w:r>
                    <w:rPr>
                      <w:rFonts w:hint="default" w:ascii="Times New Roman" w:hAnsi="Times New Roman" w:eastAsia="宋体" w:cs="Times New Roman"/>
                      <w:spacing w:val="-10"/>
                      <w:sz w:val="21"/>
                      <w:szCs w:val="21"/>
                    </w:rPr>
                    <w:t>置集气罩</w:t>
                  </w:r>
                  <w:r>
                    <w:rPr>
                      <w:rFonts w:hint="eastAsia" w:ascii="Times New Roman" w:hAnsi="Times New Roman" w:cs="Times New Roman"/>
                      <w:spacing w:val="-10"/>
                      <w:sz w:val="21"/>
                      <w:szCs w:val="21"/>
                      <w:lang w:eastAsia="zh-CN"/>
                    </w:rPr>
                    <w:t>，</w:t>
                  </w:r>
                  <w:r>
                    <w:rPr>
                      <w:rFonts w:hint="eastAsia" w:ascii="Times New Roman" w:hAnsi="Times New Roman" w:cs="Times New Roman"/>
                      <w:spacing w:val="-10"/>
                      <w:sz w:val="21"/>
                      <w:szCs w:val="21"/>
                      <w:lang w:val="en-US" w:eastAsia="zh-CN"/>
                    </w:rPr>
                    <w:t>收集的有机废气</w:t>
                  </w:r>
                  <w:r>
                    <w:rPr>
                      <w:rFonts w:hint="default" w:ascii="Times New Roman" w:hAnsi="Times New Roman" w:eastAsia="宋体" w:cs="Times New Roman"/>
                      <w:spacing w:val="-10"/>
                      <w:sz w:val="21"/>
                      <w:szCs w:val="21"/>
                    </w:rPr>
                    <w:t>经</w:t>
                  </w:r>
                  <w:r>
                    <w:rPr>
                      <w:rFonts w:hint="eastAsia" w:ascii="Times New Roman" w:hAnsi="Times New Roman" w:cs="Times New Roman"/>
                      <w:spacing w:val="-10"/>
                      <w:sz w:val="21"/>
                      <w:szCs w:val="21"/>
                      <w:lang w:val="en-US" w:eastAsia="zh-CN"/>
                    </w:rPr>
                    <w:t>管道</w:t>
                  </w:r>
                  <w:r>
                    <w:rPr>
                      <w:rFonts w:hint="default" w:ascii="Times New Roman" w:hAnsi="Times New Roman" w:eastAsia="宋体" w:cs="Times New Roman"/>
                      <w:spacing w:val="-10"/>
                      <w:sz w:val="21"/>
                      <w:szCs w:val="21"/>
                    </w:rPr>
                    <w:t>送</w:t>
                  </w:r>
                  <w:r>
                    <w:rPr>
                      <w:rFonts w:hint="default" w:ascii="Times New Roman" w:hAnsi="Times New Roman" w:eastAsia="宋体" w:cs="Times New Roman"/>
                      <w:spacing w:val="-33"/>
                      <w:sz w:val="21"/>
                      <w:szCs w:val="21"/>
                    </w:rPr>
                    <w:t xml:space="preserve">入 </w:t>
                  </w:r>
                  <w:r>
                    <w:rPr>
                      <w:rFonts w:hint="default" w:ascii="Times New Roman" w:hAnsi="Times New Roman" w:eastAsia="宋体" w:cs="Times New Roman"/>
                      <w:sz w:val="21"/>
                      <w:szCs w:val="21"/>
                    </w:rPr>
                    <w:t>1</w:t>
                  </w:r>
                  <w:r>
                    <w:rPr>
                      <w:rFonts w:hint="default" w:ascii="Times New Roman" w:hAnsi="Times New Roman" w:eastAsia="宋体" w:cs="Times New Roman"/>
                      <w:color w:val="auto"/>
                      <w:spacing w:val="-10"/>
                      <w:sz w:val="21"/>
                      <w:szCs w:val="21"/>
                    </w:rPr>
                    <w:t xml:space="preserve"> 套 </w:t>
                  </w:r>
                  <w:r>
                    <w:rPr>
                      <w:rFonts w:hint="default" w:ascii="Times New Roman" w:hAnsi="Times New Roman" w:eastAsia="宋体" w:cs="Times New Roman"/>
                      <w:color w:val="auto"/>
                      <w:spacing w:val="-10"/>
                      <w:sz w:val="21"/>
                      <w:szCs w:val="21"/>
                      <w:lang w:val="en-US" w:eastAsia="zh-CN"/>
                    </w:rPr>
                    <w:t>等离子净化器+两级活性炭吸附装置</w:t>
                  </w:r>
                  <w:r>
                    <w:rPr>
                      <w:rFonts w:hint="default" w:ascii="Times New Roman" w:hAnsi="Times New Roman" w:eastAsia="宋体" w:cs="Times New Roman"/>
                      <w:color w:val="auto"/>
                      <w:spacing w:val="-10"/>
                      <w:sz w:val="21"/>
                      <w:szCs w:val="21"/>
                    </w:rPr>
                    <w:t>装置</w:t>
                  </w:r>
                  <w:r>
                    <w:rPr>
                      <w:rFonts w:hint="default" w:ascii="Times New Roman" w:hAnsi="Times New Roman" w:eastAsia="宋体" w:cs="Times New Roman"/>
                      <w:color w:val="auto"/>
                      <w:sz w:val="21"/>
                      <w:szCs w:val="21"/>
                    </w:rPr>
                    <w:t>，</w:t>
                  </w:r>
                  <w:r>
                    <w:rPr>
                      <w:rFonts w:hint="default" w:ascii="Times New Roman" w:hAnsi="Times New Roman" w:eastAsia="宋体" w:cs="Times New Roman"/>
                      <w:sz w:val="21"/>
                      <w:szCs w:val="21"/>
                    </w:rPr>
                    <w:t>经净化</w:t>
                  </w:r>
                  <w:r>
                    <w:rPr>
                      <w:rFonts w:hint="default" w:ascii="Times New Roman" w:hAnsi="Times New Roman" w:eastAsia="宋体" w:cs="Times New Roman"/>
                      <w:spacing w:val="-8"/>
                      <w:sz w:val="21"/>
                      <w:szCs w:val="21"/>
                    </w:rPr>
                    <w:t xml:space="preserve">处理后废气由 </w:t>
                  </w:r>
                  <w:r>
                    <w:rPr>
                      <w:rFonts w:hint="default" w:ascii="Times New Roman" w:hAnsi="Times New Roman" w:eastAsia="宋体" w:cs="Times New Roman"/>
                      <w:sz w:val="21"/>
                      <w:szCs w:val="21"/>
                    </w:rPr>
                    <w:t xml:space="preserve">1 </w:t>
                  </w:r>
                  <w:r>
                    <w:rPr>
                      <w:rFonts w:hint="default" w:ascii="Times New Roman" w:hAnsi="Times New Roman" w:eastAsia="宋体" w:cs="Times New Roman"/>
                      <w:spacing w:val="-28"/>
                      <w:sz w:val="21"/>
                      <w:szCs w:val="21"/>
                    </w:rPr>
                    <w:t xml:space="preserve">根 </w:t>
                  </w:r>
                  <w:r>
                    <w:rPr>
                      <w:rFonts w:hint="default" w:ascii="Times New Roman" w:hAnsi="Times New Roman" w:eastAsia="宋体" w:cs="Times New Roman"/>
                      <w:sz w:val="21"/>
                      <w:szCs w:val="21"/>
                    </w:rPr>
                    <w:t xml:space="preserve">15m 高排气筒（P2）排放；HW12 </w:t>
                  </w:r>
                  <w:r>
                    <w:rPr>
                      <w:rFonts w:hint="default" w:ascii="Times New Roman" w:hAnsi="Times New Roman" w:eastAsia="宋体" w:cs="Times New Roman"/>
                      <w:spacing w:val="-28"/>
                      <w:sz w:val="21"/>
                      <w:szCs w:val="21"/>
                    </w:rPr>
                    <w:t xml:space="preserve">和 </w:t>
                  </w:r>
                  <w:r>
                    <w:rPr>
                      <w:rFonts w:hint="default" w:ascii="Times New Roman" w:hAnsi="Times New Roman" w:eastAsia="宋体" w:cs="Times New Roman"/>
                      <w:spacing w:val="-6"/>
                      <w:sz w:val="21"/>
                      <w:szCs w:val="21"/>
                    </w:rPr>
                    <w:t>H</w:t>
                  </w:r>
                  <w:r>
                    <w:rPr>
                      <w:rFonts w:hint="default" w:ascii="Times New Roman" w:hAnsi="Times New Roman" w:eastAsia="宋体" w:cs="Times New Roman"/>
                      <w:color w:val="auto"/>
                      <w:spacing w:val="-6"/>
                      <w:sz w:val="21"/>
                      <w:szCs w:val="21"/>
                    </w:rPr>
                    <w:t>W49</w:t>
                  </w:r>
                  <w:r>
                    <w:rPr>
                      <w:rFonts w:hint="default" w:ascii="Times New Roman" w:hAnsi="Times New Roman" w:eastAsia="宋体" w:cs="Times New Roman"/>
                      <w:color w:val="auto"/>
                      <w:sz w:val="21"/>
                      <w:szCs w:val="21"/>
                    </w:rPr>
                    <w:t>仓库区换</w:t>
                  </w:r>
                  <w:r>
                    <w:rPr>
                      <w:rFonts w:hint="default" w:ascii="Times New Roman" w:hAnsi="Times New Roman" w:eastAsia="宋体" w:cs="Times New Roman"/>
                      <w:color w:val="auto"/>
                      <w:spacing w:val="-11"/>
                      <w:sz w:val="21"/>
                      <w:szCs w:val="21"/>
                    </w:rPr>
                    <w:t xml:space="preserve">风次数为 </w:t>
                  </w:r>
                  <w:r>
                    <w:rPr>
                      <w:rFonts w:hint="default" w:ascii="Times New Roman" w:hAnsi="Times New Roman" w:eastAsia="宋体" w:cs="Times New Roman"/>
                      <w:color w:val="auto"/>
                      <w:sz w:val="21"/>
                      <w:szCs w:val="21"/>
                    </w:rPr>
                    <w:t>8 次/h，废气经风机与经管道收集的HW08</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7"/>
                      <w:sz w:val="21"/>
                      <w:szCs w:val="21"/>
                    </w:rPr>
                    <w:t xml:space="preserve">储罐废气，共同经 </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color w:val="auto"/>
                      <w:spacing w:val="-28"/>
                      <w:sz w:val="21"/>
                      <w:szCs w:val="21"/>
                    </w:rPr>
                    <w:t xml:space="preserve">套 </w:t>
                  </w:r>
                  <w:r>
                    <w:rPr>
                      <w:rFonts w:hint="default" w:ascii="Times New Roman" w:hAnsi="Times New Roman" w:eastAsia="宋体" w:cs="Times New Roman"/>
                      <w:color w:val="auto"/>
                      <w:spacing w:val="-28"/>
                      <w:sz w:val="21"/>
                      <w:szCs w:val="21"/>
                      <w:lang w:val="en-US" w:eastAsia="zh-CN"/>
                    </w:rPr>
                    <w:t>等离子净化器+两级活性炭吸附装置</w:t>
                  </w:r>
                  <w:r>
                    <w:rPr>
                      <w:rFonts w:hint="default" w:ascii="Times New Roman" w:hAnsi="Times New Roman" w:eastAsia="宋体" w:cs="Times New Roman"/>
                      <w:color w:val="auto"/>
                      <w:sz w:val="21"/>
                      <w:szCs w:val="21"/>
                    </w:rPr>
                    <w:t>+15m</w:t>
                  </w:r>
                  <w:r>
                    <w:rPr>
                      <w:rFonts w:hint="default" w:ascii="Times New Roman" w:hAnsi="Times New Roman" w:eastAsia="宋体" w:cs="Times New Roman"/>
                      <w:color w:val="auto"/>
                      <w:spacing w:val="5"/>
                      <w:sz w:val="21"/>
                      <w:szCs w:val="21"/>
                    </w:rPr>
                    <w:t xml:space="preserve"> </w:t>
                  </w:r>
                  <w:r>
                    <w:rPr>
                      <w:rFonts w:hint="default" w:ascii="Times New Roman" w:hAnsi="Times New Roman" w:eastAsia="宋体" w:cs="Times New Roman"/>
                      <w:color w:val="auto"/>
                      <w:sz w:val="21"/>
                      <w:szCs w:val="21"/>
                    </w:rPr>
                    <w:t>高排气筒（P2）排放</w:t>
                  </w:r>
                  <w:r>
                    <w:rPr>
                      <w:rFonts w:hint="eastAsia" w:ascii="Times New Roman" w:hAnsi="Times New Roman" w:cs="Times New Roman"/>
                      <w:color w:val="auto"/>
                      <w:sz w:val="21"/>
                      <w:szCs w:val="21"/>
                      <w:lang w:eastAsia="zh-CN"/>
                    </w:rPr>
                    <w:t>。</w:t>
                  </w:r>
                </w:p>
              </w:tc>
            </w:tr>
          </w:tbl>
          <w:tbl>
            <w:tblPr>
              <w:tblStyle w:val="20"/>
              <w:tblW w:w="9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0"/>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微软雅黑"/>
                      <w:sz w:val="24"/>
                      <w:szCs w:val="24"/>
                      <w:vertAlign w:val="baseline"/>
                      <w:lang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3175</wp:posOffset>
                            </wp:positionH>
                            <wp:positionV relativeFrom="paragraph">
                              <wp:posOffset>2445385</wp:posOffset>
                            </wp:positionV>
                            <wp:extent cx="1905635" cy="295275"/>
                            <wp:effectExtent l="0" t="0" r="0" b="0"/>
                            <wp:wrapNone/>
                            <wp:docPr id="53" name="文本框 53"/>
                            <wp:cNvGraphicFramePr/>
                            <a:graphic xmlns:a="http://schemas.openxmlformats.org/drawingml/2006/main">
                              <a:graphicData uri="http://schemas.microsoft.com/office/word/2010/wordprocessingShape">
                                <wps:wsp>
                                  <wps:cNvSpPr txBox="1"/>
                                  <wps:spPr>
                                    <a:xfrm>
                                      <a:off x="900430" y="2740660"/>
                                      <a:ext cx="190563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rPr>
                                        </w:pPr>
                                        <w:r>
                                          <w:rPr>
                                            <w:rFonts w:hint="eastAsia" w:ascii="宋体" w:hAnsi="宋体" w:eastAsia="宋体" w:cs="宋体"/>
                                            <w:b/>
                                            <w:bCs/>
                                            <w:color w:val="FF0000"/>
                                            <w:sz w:val="21"/>
                                            <w:szCs w:val="21"/>
                                            <w:lang w:val="en-US" w:eastAsia="zh-CN"/>
                                          </w:rPr>
                                          <w:t>施工期地面防渗、防腐措施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92.55pt;height:23.25pt;width:150.05pt;z-index:251676672;mso-width-relative:page;mso-height-relative:page;" filled="f" stroked="f" coordsize="21600,21600" o:gfxdata="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5jFXU2QAAAAgBAAAPAAAAAAAAAAEA&#10;IAAAACIAAABkcnMvZG93bnJldi54bWxQSwECFAAUAAAACACHTuJAKRuqz0cCAABzBAAADgAAAAAA&#10;AAABACAAAAAoAQAAZHJzL2Uyb0RvYy54bWxQSwUGAAAAAAYABgBZAQAA4QUAAAAA&#10;">
                            <v:fill on="f" focussize="0,0"/>
                            <v:stroke on="f" weight="0.5pt"/>
                            <v:imagedata o:title=""/>
                            <o:lock v:ext="edit" aspectratio="f"/>
                            <v:textbox>
                              <w:txbxContent>
                                <w:p>
                                  <w:pPr>
                                    <w:rPr>
                                      <w:rFonts w:hint="default" w:ascii="宋体" w:hAnsi="宋体" w:eastAsia="宋体" w:cs="宋体"/>
                                      <w:b/>
                                      <w:bCs/>
                                      <w:color w:val="FF0000"/>
                                      <w:sz w:val="21"/>
                                      <w:szCs w:val="21"/>
                                      <w:lang w:val="en-US"/>
                                    </w:rPr>
                                  </w:pPr>
                                  <w:r>
                                    <w:rPr>
                                      <w:rFonts w:hint="eastAsia" w:ascii="宋体" w:hAnsi="宋体" w:eastAsia="宋体" w:cs="宋体"/>
                                      <w:b/>
                                      <w:bCs/>
                                      <w:color w:val="FF0000"/>
                                      <w:sz w:val="21"/>
                                      <w:szCs w:val="21"/>
                                      <w:lang w:val="en-US" w:eastAsia="zh-CN"/>
                                    </w:rPr>
                                    <w:t>施工期地面防渗、防腐措施</w:t>
                                  </w:r>
                                </w:p>
                              </w:txbxContent>
                            </v:textbox>
                          </v:shape>
                        </w:pict>
                      </mc:Fallback>
                    </mc:AlternateContent>
                  </w:r>
                  <w:r>
                    <w:rPr>
                      <w:rFonts w:hint="eastAsia" w:eastAsia="微软雅黑"/>
                      <w:sz w:val="24"/>
                      <w:szCs w:val="24"/>
                      <w:vertAlign w:val="baseline"/>
                      <w:lang w:eastAsia="zh-CN"/>
                    </w:rPr>
                    <w:drawing>
                      <wp:inline distT="0" distB="0" distL="114300" distR="114300">
                        <wp:extent cx="2905125" cy="2769235"/>
                        <wp:effectExtent l="0" t="0" r="5715" b="4445"/>
                        <wp:docPr id="109" name="图片 109" descr="040dfda061a23da9964aa720ebc4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040dfda061a23da9964aa720ebc4bbf"/>
                                <pic:cNvPicPr>
                                  <a:picLocks noChangeAspect="1"/>
                                </pic:cNvPicPr>
                              </pic:nvPicPr>
                              <pic:blipFill>
                                <a:blip r:embed="rId18"/>
                                <a:stretch>
                                  <a:fillRect/>
                                </a:stretch>
                              </pic:blipFill>
                              <pic:spPr>
                                <a:xfrm>
                                  <a:off x="0" y="0"/>
                                  <a:ext cx="2905125" cy="2769235"/>
                                </a:xfrm>
                                <a:prstGeom prst="rect">
                                  <a:avLst/>
                                </a:prstGeom>
                              </pic:spPr>
                            </pic:pic>
                          </a:graphicData>
                        </a:graphic>
                      </wp:inline>
                    </w:drawing>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eastAsiaTheme="minorEastAsia"/>
                      <w:sz w:val="24"/>
                      <w:szCs w:val="24"/>
                      <w:vertAlign w:val="baseline"/>
                    </w:rPr>
                  </w:pPr>
                  <w:r>
                    <w:rPr>
                      <w:sz w:val="24"/>
                    </w:rPr>
                    <mc:AlternateContent>
                      <mc:Choice Requires="wps">
                        <w:drawing>
                          <wp:anchor distT="0" distB="0" distL="114300" distR="114300" simplePos="0" relativeHeight="251696128" behindDoc="0" locked="0" layoutInCell="1" allowOverlap="1">
                            <wp:simplePos x="0" y="0"/>
                            <wp:positionH relativeFrom="column">
                              <wp:posOffset>-34925</wp:posOffset>
                            </wp:positionH>
                            <wp:positionV relativeFrom="paragraph">
                              <wp:posOffset>2483485</wp:posOffset>
                            </wp:positionV>
                            <wp:extent cx="1905635" cy="29527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90563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rPr>
                                        </w:pPr>
                                        <w:r>
                                          <w:rPr>
                                            <w:rFonts w:hint="eastAsia" w:ascii="宋体" w:hAnsi="宋体" w:eastAsia="宋体" w:cs="宋体"/>
                                            <w:b/>
                                            <w:bCs/>
                                            <w:color w:val="FF0000"/>
                                            <w:sz w:val="21"/>
                                            <w:szCs w:val="21"/>
                                            <w:lang w:val="en-US" w:eastAsia="zh-CN"/>
                                          </w:rPr>
                                          <w:t>施工期地面防渗、防腐措施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195.55pt;height:23.25pt;width:150.05pt;z-index:251696128;mso-width-relative:page;mso-height-relative:page;" filled="f" stroked="f" coordsize="21600,21600" o:gfxdata="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QrqDHdAAAACgEAAA8AAAAAAAAAAQAgAAAAIgAA&#10;AGRycy9kb3ducmV2LnhtbFBLAQIUABQAAAAIAIdO4kCUX5HNPAIAAGoEAAAOAAAAAAAAAAEAIAAA&#10;ACwBAABkcnMvZTJvRG9jLnhtbFBLBQYAAAAABgAGAFkBAADaBQAAAAA=&#10;">
                            <v:fill on="f" focussize="0,0"/>
                            <v:stroke on="f" weight="0.5pt"/>
                            <v:imagedata o:title=""/>
                            <o:lock v:ext="edit" aspectratio="f"/>
                            <v:textbox>
                              <w:txbxContent>
                                <w:p>
                                  <w:pPr>
                                    <w:rPr>
                                      <w:rFonts w:hint="default" w:ascii="宋体" w:hAnsi="宋体" w:eastAsia="宋体" w:cs="宋体"/>
                                      <w:b/>
                                      <w:bCs/>
                                      <w:color w:val="FF0000"/>
                                      <w:sz w:val="21"/>
                                      <w:szCs w:val="21"/>
                                      <w:lang w:val="en-US"/>
                                    </w:rPr>
                                  </w:pPr>
                                  <w:r>
                                    <w:rPr>
                                      <w:rFonts w:hint="eastAsia" w:ascii="宋体" w:hAnsi="宋体" w:eastAsia="宋体" w:cs="宋体"/>
                                      <w:b/>
                                      <w:bCs/>
                                      <w:color w:val="FF0000"/>
                                      <w:sz w:val="21"/>
                                      <w:szCs w:val="21"/>
                                      <w:lang w:val="en-US" w:eastAsia="zh-CN"/>
                                    </w:rPr>
                                    <w:t>施工期地面防渗、防腐措施</w:t>
                                  </w:r>
                                </w:p>
                              </w:txbxContent>
                            </v:textbox>
                          </v:shape>
                        </w:pict>
                      </mc:Fallback>
                    </mc:AlternateContent>
                  </w:r>
                  <w:r>
                    <w:rPr>
                      <w:sz w:val="24"/>
                    </w:rPr>
                    <w:drawing>
                      <wp:inline distT="0" distB="0" distL="114300" distR="114300">
                        <wp:extent cx="2924175" cy="2762885"/>
                        <wp:effectExtent l="0" t="0" r="1905" b="10795"/>
                        <wp:docPr id="110" name="图片 110" descr="aa5cf71ab3eaf991a6d6e953c6be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aa5cf71ab3eaf991a6d6e953c6be2a6"/>
                                <pic:cNvPicPr>
                                  <a:picLocks noChangeAspect="1"/>
                                </pic:cNvPicPr>
                              </pic:nvPicPr>
                              <pic:blipFill>
                                <a:blip r:embed="rId19"/>
                                <a:stretch>
                                  <a:fillRect/>
                                </a:stretch>
                              </pic:blipFill>
                              <pic:spPr>
                                <a:xfrm>
                                  <a:off x="0" y="0"/>
                                  <a:ext cx="2924175" cy="2762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94080" behindDoc="0" locked="0" layoutInCell="1" allowOverlap="1">
                            <wp:simplePos x="0" y="0"/>
                            <wp:positionH relativeFrom="column">
                              <wp:posOffset>3175</wp:posOffset>
                            </wp:positionH>
                            <wp:positionV relativeFrom="paragraph">
                              <wp:posOffset>1864360</wp:posOffset>
                            </wp:positionV>
                            <wp:extent cx="1343660" cy="295275"/>
                            <wp:effectExtent l="0" t="0" r="0" b="0"/>
                            <wp:wrapNone/>
                            <wp:docPr id="105" name="文本框 105"/>
                            <wp:cNvGraphicFramePr/>
                            <a:graphic xmlns:a="http://schemas.openxmlformats.org/drawingml/2006/main">
                              <a:graphicData uri="http://schemas.microsoft.com/office/word/2010/wordprocessingShape">
                                <wps:wsp>
                                  <wps:cNvSpPr txBox="1"/>
                                  <wps:spPr>
                                    <a:xfrm>
                                      <a:off x="900430" y="2740660"/>
                                      <a:ext cx="134366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0000"/>
                                            <w:sz w:val="21"/>
                                            <w:szCs w:val="21"/>
                                          </w:rPr>
                                        </w:pPr>
                                        <w:r>
                                          <w:rPr>
                                            <w:rFonts w:hint="eastAsia" w:ascii="宋体" w:hAnsi="宋体" w:eastAsia="宋体" w:cs="宋体"/>
                                            <w:b/>
                                            <w:bCs/>
                                            <w:color w:val="FF0000"/>
                                            <w:sz w:val="21"/>
                                            <w:szCs w:val="21"/>
                                            <w:lang w:val="en-US" w:eastAsia="zh-CN"/>
                                          </w:rPr>
                                          <w:t>新建</w:t>
                                        </w:r>
                                        <w:r>
                                          <w:rPr>
                                            <w:rFonts w:hint="eastAsia" w:ascii="宋体" w:hAnsi="宋体" w:eastAsia="宋体" w:cs="宋体"/>
                                            <w:b/>
                                            <w:bCs/>
                                            <w:color w:val="FF0000"/>
                                            <w:sz w:val="21"/>
                                            <w:szCs w:val="21"/>
                                          </w:rPr>
                                          <w:t>危废暂存仓库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46.8pt;height:23.25pt;width:105.8pt;z-index:251694080;mso-width-relative:page;mso-height-relative:page;" filled="f" stroked="f" coordsize="21600,21600" o:gfxdata="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T6cSdoAAAAIAQAADwAAAAAAAAAB&#10;ACAAAAAiAAAAZHJzL2Rvd25yZXYueG1sUEsBAhQAFAAAAAgAh07iQFbIwgFHAgAAdQQAAA4AAAAA&#10;AAAAAQAgAAAAKQEAAGRycy9lMm9Eb2MueG1sUEsFBgAAAAAGAAYAWQEAAOIFAAAAAA==&#10;">
                            <v:fill on="f" focussize="0,0"/>
                            <v:stroke on="f" weight="0.5pt"/>
                            <v:imagedata o:title=""/>
                            <o:lock v:ext="edit" aspectratio="f"/>
                            <v:textbox>
                              <w:txbxContent>
                                <w:p>
                                  <w:pPr>
                                    <w:rPr>
                                      <w:rFonts w:hint="eastAsia" w:ascii="宋体" w:hAnsi="宋体" w:eastAsia="宋体" w:cs="宋体"/>
                                      <w:b/>
                                      <w:bCs/>
                                      <w:color w:val="FF0000"/>
                                      <w:sz w:val="21"/>
                                      <w:szCs w:val="21"/>
                                    </w:rPr>
                                  </w:pPr>
                                  <w:r>
                                    <w:rPr>
                                      <w:rFonts w:hint="eastAsia" w:ascii="宋体" w:hAnsi="宋体" w:eastAsia="宋体" w:cs="宋体"/>
                                      <w:b/>
                                      <w:bCs/>
                                      <w:color w:val="FF0000"/>
                                      <w:sz w:val="21"/>
                                      <w:szCs w:val="21"/>
                                      <w:lang w:val="en-US" w:eastAsia="zh-CN"/>
                                    </w:rPr>
                                    <w:t>新建</w:t>
                                  </w:r>
                                  <w:r>
                                    <w:rPr>
                                      <w:rFonts w:hint="eastAsia" w:ascii="宋体" w:hAnsi="宋体" w:eastAsia="宋体" w:cs="宋体"/>
                                      <w:b/>
                                      <w:bCs/>
                                      <w:color w:val="FF0000"/>
                                      <w:sz w:val="21"/>
                                      <w:szCs w:val="21"/>
                                    </w:rPr>
                                    <w:t>危废暂存仓库</w:t>
                                  </w:r>
                                </w:p>
                              </w:txbxContent>
                            </v:textbox>
                          </v:shape>
                        </w:pict>
                      </mc:Fallback>
                    </mc:AlternateContent>
                  </w:r>
                  <w:r>
                    <w:rPr>
                      <w:rFonts w:eastAsiaTheme="minorEastAsia"/>
                      <w:sz w:val="24"/>
                      <w:szCs w:val="24"/>
                      <w:vertAlign w:val="baseline"/>
                    </w:rPr>
                    <w:drawing>
                      <wp:inline distT="0" distB="0" distL="114300" distR="114300">
                        <wp:extent cx="2895600" cy="2171700"/>
                        <wp:effectExtent l="0" t="0" r="0" b="7620"/>
                        <wp:docPr id="106" name="图片 106" descr="744ef987639fcfda4c0840cb2b8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744ef987639fcfda4c0840cb2b87305"/>
                                <pic:cNvPicPr>
                                  <a:picLocks noChangeAspect="1"/>
                                </pic:cNvPicPr>
                              </pic:nvPicPr>
                              <pic:blipFill>
                                <a:blip r:embed="rId20"/>
                                <a:stretch>
                                  <a:fillRect/>
                                </a:stretch>
                              </pic:blipFill>
                              <pic:spPr>
                                <a:xfrm>
                                  <a:off x="0" y="0"/>
                                  <a:ext cx="2895600" cy="2171700"/>
                                </a:xfrm>
                                <a:prstGeom prst="rect">
                                  <a:avLst/>
                                </a:prstGeom>
                              </pic:spPr>
                            </pic:pic>
                          </a:graphicData>
                        </a:graphic>
                      </wp:inline>
                    </w:drawing>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eastAsiaTheme="minorEastAsia"/>
                      <w:sz w:val="24"/>
                      <w:szCs w:val="24"/>
                      <w:vertAlign w:val="baseline"/>
                    </w:rPr>
                  </w:pPr>
                  <w:r>
                    <w:rPr>
                      <w:sz w:val="24"/>
                    </w:rPr>
                    <mc:AlternateContent>
                      <mc:Choice Requires="wps">
                        <w:drawing>
                          <wp:anchor distT="0" distB="0" distL="114300" distR="114300" simplePos="0" relativeHeight="251695104" behindDoc="0" locked="0" layoutInCell="1" allowOverlap="1">
                            <wp:simplePos x="0" y="0"/>
                            <wp:positionH relativeFrom="column">
                              <wp:posOffset>20955</wp:posOffset>
                            </wp:positionH>
                            <wp:positionV relativeFrom="paragraph">
                              <wp:posOffset>1896745</wp:posOffset>
                            </wp:positionV>
                            <wp:extent cx="2393315" cy="29527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239331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新建</w:t>
                                        </w:r>
                                        <w:r>
                                          <w:rPr>
                                            <w:rFonts w:hint="eastAsia" w:ascii="宋体" w:hAnsi="宋体" w:eastAsia="宋体" w:cs="宋体"/>
                                            <w:b/>
                                            <w:bCs/>
                                            <w:color w:val="FF0000"/>
                                            <w:sz w:val="21"/>
                                            <w:szCs w:val="21"/>
                                          </w:rPr>
                                          <w:t>危废暂存仓库</w:t>
                                        </w:r>
                                        <w:r>
                                          <w:rPr>
                                            <w:rFonts w:hint="eastAsia" w:ascii="宋体" w:hAnsi="宋体" w:eastAsia="宋体" w:cs="宋体"/>
                                            <w:b/>
                                            <w:bCs/>
                                            <w:color w:val="FF0000"/>
                                            <w:sz w:val="21"/>
                                            <w:szCs w:val="21"/>
                                            <w:lang w:val="en-US" w:eastAsia="zh-CN"/>
                                          </w:rPr>
                                          <w:t>内储油罐及收集池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149.35pt;height:23.25pt;width:188.45pt;z-index:251695104;mso-width-relative:page;mso-height-relative:page;" filled="f" stroked="f" coordsize="21600,21600" o:gfxdata="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&#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ZWdXdoAAAAJAQAADwAAAAAAAAABACAAAAAiAAAA&#10;ZHJzL2Rvd25yZXYueG1sUEsBAhQAFAAAAAgAh07iQCCN/GI+AgAAagQAAA4AAAAAAAAAAQAgAAAA&#10;KQEAAGRycy9lMm9Eb2MueG1sUEsFBgAAAAAGAAYAWQEAANkFA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新建</w:t>
                                  </w:r>
                                  <w:r>
                                    <w:rPr>
                                      <w:rFonts w:hint="eastAsia" w:ascii="宋体" w:hAnsi="宋体" w:eastAsia="宋体" w:cs="宋体"/>
                                      <w:b/>
                                      <w:bCs/>
                                      <w:color w:val="FF0000"/>
                                      <w:sz w:val="21"/>
                                      <w:szCs w:val="21"/>
                                    </w:rPr>
                                    <w:t>危废暂存仓库</w:t>
                                  </w:r>
                                  <w:r>
                                    <w:rPr>
                                      <w:rFonts w:hint="eastAsia" w:ascii="宋体" w:hAnsi="宋体" w:eastAsia="宋体" w:cs="宋体"/>
                                      <w:b/>
                                      <w:bCs/>
                                      <w:color w:val="FF0000"/>
                                      <w:sz w:val="21"/>
                                      <w:szCs w:val="21"/>
                                      <w:lang w:val="en-US" w:eastAsia="zh-CN"/>
                                    </w:rPr>
                                    <w:t>内储油罐及收集池</w:t>
                                  </w:r>
                                </w:p>
                              </w:txbxContent>
                            </v:textbox>
                          </v:shape>
                        </w:pict>
                      </mc:Fallback>
                    </mc:AlternateContent>
                  </w:r>
                  <w:r>
                    <w:rPr>
                      <w:rFonts w:eastAsiaTheme="minorEastAsia"/>
                      <w:sz w:val="24"/>
                      <w:szCs w:val="24"/>
                      <w:vertAlign w:val="baseline"/>
                    </w:rPr>
                    <w:drawing>
                      <wp:inline distT="0" distB="0" distL="114300" distR="114300">
                        <wp:extent cx="2926080" cy="2194560"/>
                        <wp:effectExtent l="0" t="0" r="0" b="0"/>
                        <wp:docPr id="108" name="图片 108" descr="fa992e4e96a1bb75697fa7c43a32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a992e4e96a1bb75697fa7c43a32c16"/>
                                <pic:cNvPicPr>
                                  <a:picLocks noChangeAspect="1"/>
                                </pic:cNvPicPr>
                              </pic:nvPicPr>
                              <pic:blipFill>
                                <a:blip r:embed="rId21"/>
                                <a:stretch>
                                  <a:fillRect/>
                                </a:stretch>
                              </pic:blipFill>
                              <pic:spPr>
                                <a:xfrm>
                                  <a:off x="0" y="0"/>
                                  <a:ext cx="2926080" cy="219456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eastAsiaTheme="minorEastAsia"/>
                <w:sz w:val="24"/>
                <w:szCs w:val="24"/>
              </w:rPr>
            </w:pPr>
          </w:p>
        </w:tc>
      </w:tr>
    </w:tbl>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cs="Times New Roman" w:hAnsiTheme="minorEastAsia" w:eastAsiaTheme="minorEastAsia"/>
          <w:b/>
          <w:color w:val="000000"/>
          <w:sz w:val="28"/>
          <w:szCs w:val="28"/>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cs="Times New Roman" w:eastAsiaTheme="minorEastAsia"/>
          <w:b/>
          <w:color w:val="000000"/>
          <w:sz w:val="21"/>
          <w:szCs w:val="21"/>
        </w:rPr>
      </w:pPr>
      <w:bookmarkStart w:id="1" w:name="_GoBack"/>
      <w:bookmarkEnd w:id="1"/>
      <w:r>
        <w:rPr>
          <w:rFonts w:hint="eastAsia" w:ascii="Times New Roman" w:cs="Times New Roman" w:hAnsiTheme="minorEastAsia" w:eastAsiaTheme="minorEastAsia"/>
          <w:b/>
          <w:color w:val="000000"/>
          <w:sz w:val="28"/>
          <w:szCs w:val="28"/>
          <w:lang w:val="en-US" w:eastAsia="zh-CN"/>
        </w:rPr>
        <w:t>续</w:t>
      </w:r>
      <w:r>
        <w:rPr>
          <w:rFonts w:ascii="Times New Roman" w:cs="Times New Roman" w:hAnsiTheme="minorEastAsia" w:eastAsiaTheme="minorEastAsia"/>
          <w:b/>
          <w:color w:val="000000"/>
          <w:sz w:val="28"/>
          <w:szCs w:val="28"/>
        </w:rPr>
        <w:t>表二</w:t>
      </w:r>
    </w:p>
    <w:tbl>
      <w:tblPr>
        <w:tblStyle w:val="19"/>
        <w:tblW w:w="98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8" w:hRule="atLeast"/>
          <w:jc w:val="center"/>
        </w:trPr>
        <w:tc>
          <w:tcPr>
            <w:tcW w:w="9833" w:type="dxa"/>
          </w:tcPr>
          <w:tbl>
            <w:tblPr>
              <w:tblStyle w:val="20"/>
              <w:tblW w:w="9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8"/>
              <w:gridCol w:w="4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w:drawing>
                      <wp:inline distT="0" distB="0" distL="114300" distR="114300">
                        <wp:extent cx="2907665" cy="2510790"/>
                        <wp:effectExtent l="0" t="0" r="3175" b="3810"/>
                        <wp:docPr id="11" name="图片 11" descr="ea1c2f0845572e11cabb6626706d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a1c2f0845572e11cabb6626706d6ef"/>
                                <pic:cNvPicPr>
                                  <a:picLocks noChangeAspect="1"/>
                                </pic:cNvPicPr>
                              </pic:nvPicPr>
                              <pic:blipFill>
                                <a:blip r:embed="rId22"/>
                                <a:stretch>
                                  <a:fillRect/>
                                </a:stretch>
                              </pic:blipFill>
                              <pic:spPr>
                                <a:xfrm>
                                  <a:off x="0" y="0"/>
                                  <a:ext cx="2907665" cy="2510790"/>
                                </a:xfrm>
                                <a:prstGeom prst="rect">
                                  <a:avLst/>
                                </a:prstGeom>
                              </pic:spPr>
                            </pic:pic>
                          </a:graphicData>
                        </a:graphic>
                      </wp:inline>
                    </w:drawing>
                  </w:r>
                  <w:r>
                    <w:rPr>
                      <w:sz w:val="24"/>
                    </w:rPr>
                    <mc:AlternateContent>
                      <mc:Choice Requires="wps">
                        <w:drawing>
                          <wp:anchor distT="0" distB="0" distL="114300" distR="114300" simplePos="0" relativeHeight="251692032" behindDoc="0" locked="0" layoutInCell="1" allowOverlap="1">
                            <wp:simplePos x="0" y="0"/>
                            <wp:positionH relativeFrom="column">
                              <wp:posOffset>-21590</wp:posOffset>
                            </wp:positionH>
                            <wp:positionV relativeFrom="paragraph">
                              <wp:posOffset>2233295</wp:posOffset>
                            </wp:positionV>
                            <wp:extent cx="1501140" cy="29527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50114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储罐上方废气集气罩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85pt;height:23.25pt;width:118.2pt;z-index:251692032;mso-width-relative:page;mso-height-relative:page;" filled="f" stroked="f" coordsize="21600,21600" o:gfxdata="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GD8o2wAAAAoBAAAPAAAAAAAAAAEAIAAAACIAAABk&#10;cnMvZG93bnJldi54bWxQSwECFAAUAAAACACHTuJAyLRuozwCAABoBAAADgAAAAAAAAABACAAAAAq&#10;AQAAZHJzL2Uyb0RvYy54bWxQSwUGAAAAAAYABgBZAQAA2AU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储罐上方废气集气罩</w:t>
                                  </w:r>
                                </w:p>
                              </w:txbxContent>
                            </v:textbox>
                          </v:shape>
                        </w:pict>
                      </mc:Fallback>
                    </mc:AlternateContent>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93056" behindDoc="0" locked="0" layoutInCell="1" allowOverlap="1">
                            <wp:simplePos x="0" y="0"/>
                            <wp:positionH relativeFrom="column">
                              <wp:posOffset>-11430</wp:posOffset>
                            </wp:positionH>
                            <wp:positionV relativeFrom="paragraph">
                              <wp:posOffset>2090420</wp:posOffset>
                            </wp:positionV>
                            <wp:extent cx="1850390" cy="48577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5039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 xml:space="preserve">HW49 </w:t>
                                        </w:r>
                                        <w:r>
                                          <w:rPr>
                                            <w:rFonts w:hint="eastAsia" w:ascii="宋体" w:hAnsi="宋体" w:eastAsia="宋体" w:cs="宋体"/>
                                            <w:b/>
                                            <w:bCs/>
                                            <w:color w:val="FF0000"/>
                                            <w:sz w:val="21"/>
                                            <w:szCs w:val="21"/>
                                          </w:rPr>
                                          <w:t>危废暂存仓库</w:t>
                                        </w:r>
                                        <w:r>
                                          <w:rPr>
                                            <w:rFonts w:hint="eastAsia" w:ascii="宋体" w:hAnsi="宋体" w:eastAsia="宋体" w:cs="宋体"/>
                                            <w:b/>
                                            <w:bCs/>
                                            <w:color w:val="FF0000"/>
                                            <w:sz w:val="21"/>
                                            <w:szCs w:val="21"/>
                                            <w:lang w:val="en-US" w:eastAsia="zh-CN"/>
                                          </w:rPr>
                                          <w:t>内密闭储存区域及车载废气集气罩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164.6pt;height:38.25pt;width:145.7pt;z-index:251693056;mso-width-relative:page;mso-height-relative:page;" filled="f" stroked="f" coordsize="21600,21600" o:gfxdata="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tEqrvcAAAACgEAAA8AAAAAAAAAAQAgAAAAIgAA&#10;AGRycy9kb3ducmV2LnhtbFBLAQIUABQAAAAIAIdO4kCvShDEPQIAAGgEAAAOAAAAAAAAAAEAIAAA&#10;ACsBAABkcnMvZTJvRG9jLnhtbFBLBQYAAAAABgAGAFkBAADaBQ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 xml:space="preserve">HW49 </w:t>
                                  </w:r>
                                  <w:r>
                                    <w:rPr>
                                      <w:rFonts w:hint="eastAsia" w:ascii="宋体" w:hAnsi="宋体" w:eastAsia="宋体" w:cs="宋体"/>
                                      <w:b/>
                                      <w:bCs/>
                                      <w:color w:val="FF0000"/>
                                      <w:sz w:val="21"/>
                                      <w:szCs w:val="21"/>
                                    </w:rPr>
                                    <w:t>危废暂存仓库</w:t>
                                  </w:r>
                                  <w:r>
                                    <w:rPr>
                                      <w:rFonts w:hint="eastAsia" w:ascii="宋体" w:hAnsi="宋体" w:eastAsia="宋体" w:cs="宋体"/>
                                      <w:b/>
                                      <w:bCs/>
                                      <w:color w:val="FF0000"/>
                                      <w:sz w:val="21"/>
                                      <w:szCs w:val="21"/>
                                      <w:lang w:val="en-US" w:eastAsia="zh-CN"/>
                                    </w:rPr>
                                    <w:t>内密闭储存区域及车载废气集气罩</w:t>
                                  </w:r>
                                </w:p>
                              </w:txbxContent>
                            </v:textbox>
                          </v:shape>
                        </w:pict>
                      </mc:Fallback>
                    </mc:AlternateContent>
                  </w:r>
                  <w:r>
                    <w:rPr>
                      <w:sz w:val="24"/>
                    </w:rPr>
                    <w:drawing>
                      <wp:inline distT="0" distB="0" distL="114300" distR="114300">
                        <wp:extent cx="2895600" cy="2524125"/>
                        <wp:effectExtent l="0" t="0" r="0" b="5715"/>
                        <wp:docPr id="100" name="图片 100" descr="35417a74d2eb699e72535159146f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35417a74d2eb699e72535159146f08b"/>
                                <pic:cNvPicPr>
                                  <a:picLocks noChangeAspect="1"/>
                                </pic:cNvPicPr>
                              </pic:nvPicPr>
                              <pic:blipFill>
                                <a:blip r:embed="rId23"/>
                                <a:stretch>
                                  <a:fillRect/>
                                </a:stretch>
                              </pic:blipFill>
                              <pic:spPr>
                                <a:xfrm>
                                  <a:off x="0" y="0"/>
                                  <a:ext cx="2895600" cy="2524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87936" behindDoc="0" locked="0" layoutInCell="1" allowOverlap="1">
                            <wp:simplePos x="0" y="0"/>
                            <wp:positionH relativeFrom="column">
                              <wp:posOffset>-17145</wp:posOffset>
                            </wp:positionH>
                            <wp:positionV relativeFrom="paragraph">
                              <wp:posOffset>2501265</wp:posOffset>
                            </wp:positionV>
                            <wp:extent cx="2872105" cy="29527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87210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HW49储存间内 未拆包装的危险废物直接暂存</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196.95pt;height:23.25pt;width:226.15pt;z-index:251687936;mso-width-relative:page;mso-height-relative:page;" filled="f" stroked="f" coordsize="21600,21600" o:gfxdata="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IYSi3AAAAAoBAAAPAAAAAAAAAAEAIAAAACIA&#10;AABkcnMvZG93bnJldi54bWxQSwECFAAUAAAACACHTuJAiwCNsD4CAABoBAAADgAAAAAAAAABACAA&#10;AAArAQAAZHJzL2Uyb0RvYy54bWxQSwUGAAAAAAYABgBZAQAA2wU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HW49储存间内 未拆包装的危险废物直接暂存</w:t>
                                  </w:r>
                                </w:p>
                                <w:p>
                                  <w:pPr>
                                    <w:rPr>
                                      <w:rFonts w:hint="default"/>
                                      <w:lang w:val="en-US" w:eastAsia="zh-CN"/>
                                    </w:rPr>
                                  </w:pPr>
                                </w:p>
                              </w:txbxContent>
                            </v:textbox>
                          </v:shape>
                        </w:pict>
                      </mc:Fallback>
                    </mc:AlternateContent>
                  </w:r>
                  <w:r>
                    <w:rPr>
                      <w:rFonts w:hint="eastAsia" w:eastAsiaTheme="minorEastAsia"/>
                      <w:sz w:val="24"/>
                      <w:szCs w:val="24"/>
                      <w:vertAlign w:val="baseline"/>
                      <w:lang w:eastAsia="zh-CN"/>
                    </w:rPr>
                    <w:drawing>
                      <wp:inline distT="0" distB="0" distL="114300" distR="114300">
                        <wp:extent cx="2895600" cy="2765425"/>
                        <wp:effectExtent l="0" t="0" r="0" b="8255"/>
                        <wp:docPr id="86" name="图片 86" descr="6151ba087514063021fd5544990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151ba087514063021fd55449901ae6"/>
                                <pic:cNvPicPr>
                                  <a:picLocks noChangeAspect="1"/>
                                </pic:cNvPicPr>
                              </pic:nvPicPr>
                              <pic:blipFill>
                                <a:blip r:embed="rId24"/>
                                <a:stretch>
                                  <a:fillRect/>
                                </a:stretch>
                              </pic:blipFill>
                              <pic:spPr>
                                <a:xfrm>
                                  <a:off x="0" y="0"/>
                                  <a:ext cx="2895600" cy="2765425"/>
                                </a:xfrm>
                                <a:prstGeom prst="rect">
                                  <a:avLst/>
                                </a:prstGeom>
                              </pic:spPr>
                            </pic:pic>
                          </a:graphicData>
                        </a:graphic>
                      </wp:inline>
                    </w:drawing>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88960" behindDoc="0" locked="0" layoutInCell="1" allowOverlap="1">
                            <wp:simplePos x="0" y="0"/>
                            <wp:positionH relativeFrom="column">
                              <wp:posOffset>-32385</wp:posOffset>
                            </wp:positionH>
                            <wp:positionV relativeFrom="paragraph">
                              <wp:posOffset>2506345</wp:posOffset>
                            </wp:positionV>
                            <wp:extent cx="2407920" cy="26543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2407920" cy="265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default" w:ascii="宋体" w:hAnsi="宋体" w:eastAsia="宋体" w:cs="宋体"/>
                                            <w:b/>
                                            <w:bCs/>
                                            <w:color w:val="FF0000"/>
                                            <w:sz w:val="21"/>
                                            <w:szCs w:val="21"/>
                                            <w:lang w:val="en-US" w:eastAsia="zh-CN"/>
                                          </w:rPr>
                                          <w:t>HW49储存间内</w:t>
                                        </w:r>
                                        <w:r>
                                          <w:rPr>
                                            <w:rFonts w:hint="eastAsia" w:ascii="宋体" w:hAnsi="宋体" w:eastAsia="宋体" w:cs="宋体"/>
                                            <w:b/>
                                            <w:bCs/>
                                            <w:color w:val="FF0000"/>
                                            <w:sz w:val="21"/>
                                            <w:szCs w:val="21"/>
                                            <w:lang w:val="en-US" w:eastAsia="zh-CN"/>
                                          </w:rPr>
                                          <w:t xml:space="preserve">  废气收集口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97.35pt;height:20.9pt;width:189.6pt;z-index:251688960;mso-width-relative:page;mso-height-relative:page;" filled="f" stroked="f" coordsize="21600,21600" o:gfxdata="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8z+4K3AAAAAoBAAAPAAAAAAAAAAEAIAAAACIA&#10;AABkcnMvZG93bnJldi54bWxQSwECFAAUAAAACACHTuJA2basBD4CAABoBAAADgAAAAAAAAABACAA&#10;AAArAQAAZHJzL2Uyb0RvYy54bWxQSwUGAAAAAAYABgBZAQAA2wU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default" w:ascii="宋体" w:hAnsi="宋体" w:eastAsia="宋体" w:cs="宋体"/>
                                      <w:b/>
                                      <w:bCs/>
                                      <w:color w:val="FF0000"/>
                                      <w:sz w:val="21"/>
                                      <w:szCs w:val="21"/>
                                      <w:lang w:val="en-US" w:eastAsia="zh-CN"/>
                                    </w:rPr>
                                    <w:t>HW49储存间内</w:t>
                                  </w:r>
                                  <w:r>
                                    <w:rPr>
                                      <w:rFonts w:hint="eastAsia" w:ascii="宋体" w:hAnsi="宋体" w:eastAsia="宋体" w:cs="宋体"/>
                                      <w:b/>
                                      <w:bCs/>
                                      <w:color w:val="FF0000"/>
                                      <w:sz w:val="21"/>
                                      <w:szCs w:val="21"/>
                                      <w:lang w:val="en-US" w:eastAsia="zh-CN"/>
                                    </w:rPr>
                                    <w:t xml:space="preserve">  废气收集口</w:t>
                                  </w:r>
                                </w:p>
                              </w:txbxContent>
                            </v:textbox>
                          </v:shape>
                        </w:pict>
                      </mc:Fallback>
                    </mc:AlternateContent>
                  </w:r>
                  <w:r>
                    <w:rPr>
                      <w:sz w:val="24"/>
                    </w:rPr>
                    <w:drawing>
                      <wp:inline distT="0" distB="0" distL="114300" distR="114300">
                        <wp:extent cx="2895600" cy="2765425"/>
                        <wp:effectExtent l="0" t="0" r="0" b="8255"/>
                        <wp:docPr id="88" name="图片 88" descr="93f7053e41cb4fd09adc15a5fa6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93f7053e41cb4fd09adc15a5fa65851"/>
                                <pic:cNvPicPr>
                                  <a:picLocks noChangeAspect="1"/>
                                </pic:cNvPicPr>
                              </pic:nvPicPr>
                              <pic:blipFill>
                                <a:blip r:embed="rId25"/>
                                <a:stretch>
                                  <a:fillRect/>
                                </a:stretch>
                              </pic:blipFill>
                              <pic:spPr>
                                <a:xfrm>
                                  <a:off x="0" y="0"/>
                                  <a:ext cx="2895600" cy="2765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89984" behindDoc="0" locked="0" layoutInCell="1" allowOverlap="1">
                            <wp:simplePos x="0" y="0"/>
                            <wp:positionH relativeFrom="column">
                              <wp:posOffset>-1905</wp:posOffset>
                            </wp:positionH>
                            <wp:positionV relativeFrom="paragraph">
                              <wp:posOffset>2517775</wp:posOffset>
                            </wp:positionV>
                            <wp:extent cx="2872105" cy="29527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87210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HW12密闭储存间</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198.25pt;height:23.25pt;width:226.15pt;z-index:251689984;mso-width-relative:page;mso-height-relative:page;" filled="f" stroked="f" coordsize="21600,21600" o:gfxdata="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&#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0QmfnbAAAACQEAAA8AAAAAAAAAAQAgAAAAIgAA&#10;AGRycy9kb3ducmV2LnhtbFBLAQIUABQAAAAIAIdO4kAyLdJxPgIAAGgEAAAOAAAAAAAAAAEAIAAA&#10;ACoBAABkcnMvZTJvRG9jLnhtbFBLBQYAAAAABgAGAFkBAADaBQ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HW12密闭储存间</w:t>
                                  </w:r>
                                </w:p>
                                <w:p>
                                  <w:pPr>
                                    <w:rPr>
                                      <w:rFonts w:hint="default"/>
                                      <w:lang w:val="en-US" w:eastAsia="zh-CN"/>
                                    </w:rPr>
                                  </w:pPr>
                                </w:p>
                              </w:txbxContent>
                            </v:textbox>
                          </v:shape>
                        </w:pict>
                      </mc:Fallback>
                    </mc:AlternateContent>
                  </w:r>
                  <w:r>
                    <w:rPr>
                      <w:rFonts w:eastAsiaTheme="minorEastAsia"/>
                      <w:sz w:val="24"/>
                      <w:szCs w:val="24"/>
                      <w:vertAlign w:val="baseline"/>
                    </w:rPr>
                    <w:drawing>
                      <wp:inline distT="0" distB="0" distL="114300" distR="114300">
                        <wp:extent cx="2926080" cy="2811145"/>
                        <wp:effectExtent l="0" t="0" r="0" b="8255"/>
                        <wp:docPr id="90" name="图片 90" descr="71eaca0ba334f3e4f31b195ac3a9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71eaca0ba334f3e4f31b195ac3a9f87"/>
                                <pic:cNvPicPr>
                                  <a:picLocks noChangeAspect="1"/>
                                </pic:cNvPicPr>
                              </pic:nvPicPr>
                              <pic:blipFill>
                                <a:blip r:embed="rId26"/>
                                <a:stretch>
                                  <a:fillRect/>
                                </a:stretch>
                              </pic:blipFill>
                              <pic:spPr>
                                <a:xfrm>
                                  <a:off x="0" y="0"/>
                                  <a:ext cx="2926080" cy="2811145"/>
                                </a:xfrm>
                                <a:prstGeom prst="rect">
                                  <a:avLst/>
                                </a:prstGeom>
                              </pic:spPr>
                            </pic:pic>
                          </a:graphicData>
                        </a:graphic>
                      </wp:inline>
                    </w:drawing>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2538095</wp:posOffset>
                            </wp:positionV>
                            <wp:extent cx="1402715" cy="29527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40271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宋体" w:hAnsi="宋体" w:eastAsia="宋体" w:cs="宋体"/>
                                            <w:b/>
                                            <w:bCs/>
                                            <w:color w:val="FF0000"/>
                                            <w:sz w:val="21"/>
                                            <w:szCs w:val="21"/>
                                            <w:lang w:val="en-US" w:eastAsia="zh-CN"/>
                                          </w:rPr>
                                          <w:t>HW12内暂存漆桶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99.85pt;height:23.25pt;width:110.45pt;z-index:251691008;mso-width-relative:page;mso-height-relative:page;" filled="f" stroked="f" coordsize="21600,21600" o:gfxdata="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FPjL2wAAAAkBAAAPAAAAAAAAAAEAIAAAACIAAABk&#10;cnMvZG93bnJldi54bWxQSwECFAAUAAAACACHTuJARq5NzzwCAABoBAAADgAAAAAAAAABACAAAAAq&#10;AQAAZHJzL2Uyb0RvYy54bWxQSwUGAAAAAAYABgBZAQAA2AUAAAAA&#10;">
                            <v:fill on="f" focussize="0,0"/>
                            <v:stroke on="f" weight="0.5pt"/>
                            <v:imagedata o:title=""/>
                            <o:lock v:ext="edit" aspectratio="f"/>
                            <v:textbox>
                              <w:txbxContent>
                                <w:p>
                                  <w:pPr>
                                    <w:rPr>
                                      <w:rFonts w:hint="default"/>
                                      <w:lang w:val="en-US" w:eastAsia="zh-CN"/>
                                    </w:rPr>
                                  </w:pPr>
                                  <w:r>
                                    <w:rPr>
                                      <w:rFonts w:hint="eastAsia" w:ascii="宋体" w:hAnsi="宋体" w:eastAsia="宋体" w:cs="宋体"/>
                                      <w:b/>
                                      <w:bCs/>
                                      <w:color w:val="FF0000"/>
                                      <w:sz w:val="21"/>
                                      <w:szCs w:val="21"/>
                                      <w:lang w:val="en-US" w:eastAsia="zh-CN"/>
                                    </w:rPr>
                                    <w:t>HW12内暂存漆桶</w:t>
                                  </w:r>
                                </w:p>
                              </w:txbxContent>
                            </v:textbox>
                          </v:shape>
                        </w:pict>
                      </mc:Fallback>
                    </mc:AlternateContent>
                  </w:r>
                  <w:r>
                    <w:rPr>
                      <w:rFonts w:hint="eastAsia" w:eastAsiaTheme="minorEastAsia"/>
                      <w:sz w:val="24"/>
                      <w:szCs w:val="24"/>
                      <w:vertAlign w:val="baseline"/>
                      <w:lang w:eastAsia="zh-CN"/>
                    </w:rPr>
                    <w:drawing>
                      <wp:inline distT="0" distB="0" distL="114300" distR="114300">
                        <wp:extent cx="2913380" cy="2811780"/>
                        <wp:effectExtent l="0" t="0" r="12700" b="7620"/>
                        <wp:docPr id="92" name="图片 92" descr="c9c6062e8e692069da4ce6ed0438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9c6062e8e692069da4ce6ed04382ea"/>
                                <pic:cNvPicPr>
                                  <a:picLocks noChangeAspect="1"/>
                                </pic:cNvPicPr>
                              </pic:nvPicPr>
                              <pic:blipFill>
                                <a:blip r:embed="rId27"/>
                                <a:stretch>
                                  <a:fillRect/>
                                </a:stretch>
                              </pic:blipFill>
                              <pic:spPr>
                                <a:xfrm>
                                  <a:off x="0" y="0"/>
                                  <a:ext cx="2913380" cy="281178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eastAsiaTheme="minorEastAsia"/>
                <w:sz w:val="24"/>
                <w:szCs w:val="24"/>
              </w:rPr>
            </w:pPr>
          </w:p>
        </w:tc>
      </w:tr>
    </w:tbl>
    <w:p>
      <w:pPr>
        <w:pStyle w:val="24"/>
        <w:sectPr>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hAnsi="Times New Roman" w:cs="Times New Roman" w:eastAsiaTheme="minorEastAsia"/>
          <w:b/>
          <w:color w:val="000000"/>
          <w:sz w:val="21"/>
          <w:szCs w:val="21"/>
        </w:rPr>
      </w:pPr>
      <w:r>
        <w:rPr>
          <w:rFonts w:hint="eastAsia" w:ascii="Times New Roman" w:cs="Times New Roman" w:hAnsiTheme="minorEastAsia" w:eastAsiaTheme="minorEastAsia"/>
          <w:b/>
          <w:color w:val="000000"/>
          <w:sz w:val="28"/>
          <w:szCs w:val="28"/>
          <w:lang w:val="en-US" w:eastAsia="zh-CN"/>
        </w:rPr>
        <w:t>续</w:t>
      </w:r>
      <w:r>
        <w:rPr>
          <w:rFonts w:ascii="Times New Roman" w:cs="Times New Roman" w:hAnsiTheme="minorEastAsia" w:eastAsiaTheme="minorEastAsia"/>
          <w:b/>
          <w:color w:val="000000"/>
          <w:sz w:val="28"/>
          <w:szCs w:val="28"/>
        </w:rPr>
        <w:t>表二</w:t>
      </w:r>
    </w:p>
    <w:tbl>
      <w:tblPr>
        <w:tblStyle w:val="19"/>
        <w:tblW w:w="98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8" w:hRule="atLeast"/>
          <w:jc w:val="center"/>
        </w:trPr>
        <w:tc>
          <w:tcPr>
            <w:tcW w:w="9833" w:type="dxa"/>
          </w:tcPr>
          <w:tbl>
            <w:tblPr>
              <w:tblStyle w:val="20"/>
              <w:tblW w:w="9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8"/>
              <w:gridCol w:w="4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85888" behindDoc="0" locked="0" layoutInCell="1" allowOverlap="1">
                            <wp:simplePos x="0" y="0"/>
                            <wp:positionH relativeFrom="column">
                              <wp:posOffset>-46355</wp:posOffset>
                            </wp:positionH>
                            <wp:positionV relativeFrom="paragraph">
                              <wp:posOffset>1993900</wp:posOffset>
                            </wp:positionV>
                            <wp:extent cx="2657475" cy="28067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265747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除HW49及HW12其他危险废物分区存放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157pt;height:22.1pt;width:209.25pt;z-index:251685888;mso-width-relative:page;mso-height-relative:page;" filled="f" stroked="f" coordsize="21600,21600" o:gfxdata="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0cGXdsAAAAKAQAADwAAAAAAAAABACAAAAAiAAAA&#10;ZHJzL2Rvd25yZXYueG1sUEsBAhQAFAAAAAgAh07iQMLjctw9AgAAaAQAAA4AAAAAAAAAAQAgAAAA&#10;KgEAAGRycy9lMm9Eb2MueG1sUEsFBgAAAAAGAAYAWQEAANkFA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除HW49及HW12其他危险废物分区存放</w:t>
                                  </w:r>
                                </w:p>
                              </w:txbxContent>
                            </v:textbox>
                          </v:shape>
                        </w:pict>
                      </mc:Fallback>
                    </mc:AlternateContent>
                  </w:r>
                  <w:r>
                    <w:rPr>
                      <w:sz w:val="24"/>
                    </w:rPr>
                    <w:drawing>
                      <wp:inline distT="0" distB="0" distL="114300" distR="114300">
                        <wp:extent cx="2895600" cy="2316480"/>
                        <wp:effectExtent l="0" t="0" r="0" b="0"/>
                        <wp:docPr id="71" name="图片 71" descr="040b840ef8652267c337133d9a4d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40b840ef8652267c337133d9a4d08e"/>
                                <pic:cNvPicPr>
                                  <a:picLocks noChangeAspect="1"/>
                                </pic:cNvPicPr>
                              </pic:nvPicPr>
                              <pic:blipFill>
                                <a:blip r:embed="rId28"/>
                                <a:stretch>
                                  <a:fillRect/>
                                </a:stretch>
                              </pic:blipFill>
                              <pic:spPr>
                                <a:xfrm>
                                  <a:off x="0" y="0"/>
                                  <a:ext cx="2895600" cy="2316480"/>
                                </a:xfrm>
                                <a:prstGeom prst="rect">
                                  <a:avLst/>
                                </a:prstGeom>
                              </pic:spPr>
                            </pic:pic>
                          </a:graphicData>
                        </a:graphic>
                      </wp:inline>
                    </w:drawing>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Theme="minorEastAsia"/>
                      <w:sz w:val="24"/>
                      <w:szCs w:val="24"/>
                      <w:vertAlign w:val="baseline"/>
                      <w:lang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-28575</wp:posOffset>
                            </wp:positionH>
                            <wp:positionV relativeFrom="paragraph">
                              <wp:posOffset>2016760</wp:posOffset>
                            </wp:positionV>
                            <wp:extent cx="2740660" cy="28067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274066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除HW49及HW12其他危险废物分区存放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58.8pt;height:22.1pt;width:215.8pt;z-index:251686912;mso-width-relative:page;mso-height-relative:page;" filled="f" stroked="f" coordsize="21600,21600" o:gfxdata="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crt3AAAAAoBAAAPAAAAAAAAAAEAIAAAACIA&#10;AABkcnMvZG93bnJldi54bWxQSwECFAAUAAAACACHTuJAwFvyyT4CAABoBAAADgAAAAAAAAABACAA&#10;AAArAQAAZHJzL2Uyb0RvYy54bWxQSwUGAAAAAAYABgBZAQAA2wU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除HW49及HW12其他危险废物分区存放</w:t>
                                  </w:r>
                                </w:p>
                              </w:txbxContent>
                            </v:textbox>
                          </v:shape>
                        </w:pict>
                      </mc:Fallback>
                    </mc:AlternateContent>
                  </w:r>
                  <w:r>
                    <w:rPr>
                      <w:rFonts w:hint="eastAsia" w:eastAsiaTheme="minorEastAsia"/>
                      <w:sz w:val="24"/>
                      <w:szCs w:val="24"/>
                      <w:vertAlign w:val="baseline"/>
                      <w:lang w:eastAsia="zh-CN"/>
                    </w:rPr>
                    <w:drawing>
                      <wp:inline distT="0" distB="0" distL="114300" distR="114300">
                        <wp:extent cx="2913380" cy="2345055"/>
                        <wp:effectExtent l="0" t="0" r="12700" b="1905"/>
                        <wp:docPr id="73" name="图片 73" descr="a5123c799b6dc00ee041b83f4bec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5123c799b6dc00ee041b83f4becf67"/>
                                <pic:cNvPicPr>
                                  <a:picLocks noChangeAspect="1"/>
                                </pic:cNvPicPr>
                              </pic:nvPicPr>
                              <pic:blipFill>
                                <a:blip r:embed="rId29"/>
                                <a:stretch>
                                  <a:fillRect/>
                                </a:stretch>
                              </pic:blipFill>
                              <pic:spPr>
                                <a:xfrm>
                                  <a:off x="0" y="0"/>
                                  <a:ext cx="2913380" cy="2345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微软雅黑"/>
                      <w:sz w:val="24"/>
                      <w:lang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-29210</wp:posOffset>
                            </wp:positionH>
                            <wp:positionV relativeFrom="paragraph">
                              <wp:posOffset>2348230</wp:posOffset>
                            </wp:positionV>
                            <wp:extent cx="2352675" cy="2952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3526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rPr>
                                          <w:t>危废暂存仓库</w:t>
                                        </w:r>
                                        <w:r>
                                          <w:rPr>
                                            <w:rFonts w:hint="eastAsia" w:ascii="宋体" w:hAnsi="宋体" w:eastAsia="宋体" w:cs="宋体"/>
                                            <w:b/>
                                            <w:bCs/>
                                            <w:color w:val="FF0000"/>
                                            <w:sz w:val="21"/>
                                            <w:szCs w:val="21"/>
                                            <w:lang w:val="en-US" w:eastAsia="zh-CN"/>
                                          </w:rPr>
                                          <w:t>内应急事故池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184.9pt;height:23.25pt;width:185.25pt;z-index:251681792;mso-width-relative:page;mso-height-relative:page;" filled="f" stroked="f" coordsize="21600,21600" o:gfxdata="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hZJO3AAAAAoBAAAPAAAAAAAAAAEAIAAAACIA&#10;AABkcnMvZG93bnJldi54bWxQSwECFAAUAAAACACHTuJAR1dadT4CAABoBAAADgAAAAAAAAABACAA&#10;AAArAQAAZHJzL2Uyb0RvYy54bWxQSwUGAAAAAAYABgBZAQAA2wU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rPr>
                                    <w:t>危废暂存仓库</w:t>
                                  </w:r>
                                  <w:r>
                                    <w:rPr>
                                      <w:rFonts w:hint="eastAsia" w:ascii="宋体" w:hAnsi="宋体" w:eastAsia="宋体" w:cs="宋体"/>
                                      <w:b/>
                                      <w:bCs/>
                                      <w:color w:val="FF0000"/>
                                      <w:sz w:val="21"/>
                                      <w:szCs w:val="21"/>
                                      <w:lang w:val="en-US" w:eastAsia="zh-CN"/>
                                    </w:rPr>
                                    <w:t>内应急事故池</w:t>
                                  </w:r>
                                </w:p>
                              </w:txbxContent>
                            </v:textbox>
                          </v:shape>
                        </w:pict>
                      </mc:Fallback>
                    </mc:AlternateContent>
                  </w:r>
                  <w:r>
                    <w:rPr>
                      <w:sz w:val="24"/>
                    </w:rPr>
                    <w:drawing>
                      <wp:inline distT="0" distB="0" distL="114300" distR="114300">
                        <wp:extent cx="2895600" cy="2612390"/>
                        <wp:effectExtent l="0" t="0" r="0" b="8890"/>
                        <wp:docPr id="43" name="图片 43" descr="46c39880c81ad0a57bdc30a515b3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6c39880c81ad0a57bdc30a515b34e9"/>
                                <pic:cNvPicPr>
                                  <a:picLocks noChangeAspect="1"/>
                                </pic:cNvPicPr>
                              </pic:nvPicPr>
                              <pic:blipFill>
                                <a:blip r:embed="rId30"/>
                                <a:stretch>
                                  <a:fillRect/>
                                </a:stretch>
                              </pic:blipFill>
                              <pic:spPr>
                                <a:xfrm>
                                  <a:off x="0" y="0"/>
                                  <a:ext cx="2895600" cy="2612390"/>
                                </a:xfrm>
                                <a:prstGeom prst="rect">
                                  <a:avLst/>
                                </a:prstGeom>
                              </pic:spPr>
                            </pic:pic>
                          </a:graphicData>
                        </a:graphic>
                      </wp:inline>
                    </w:drawing>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rFonts w:hint="eastAsia" w:eastAsia="微软雅黑"/>
                      <w:sz w:val="24"/>
                      <w:lang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-1905</wp:posOffset>
                            </wp:positionH>
                            <wp:positionV relativeFrom="paragraph">
                              <wp:posOffset>2305050</wp:posOffset>
                            </wp:positionV>
                            <wp:extent cx="2150110" cy="28384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150110"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由南向北的与事故池相连的地沟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181.5pt;height:22.35pt;width:169.3pt;z-index:251682816;mso-width-relative:page;mso-height-relative:page;" filled="f" stroked="f" coordsize="21600,21600" o:gfxdata="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vbFN9kAAAAJAQAADwAAAAAAAAABACAAAAAiAAAAZHJz&#10;L2Rvd25yZXYueG1sUEsBAhQAFAAAAAgAh07iQJvb+oY8AgAAaAQAAA4AAAAAAAAAAQAgAAAAKAEA&#10;AGRycy9lMm9Eb2MueG1sUEsFBgAAAAAGAAYAWQEAANYFA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由南向北的与事故池相连的地沟</w:t>
                                  </w:r>
                                </w:p>
                              </w:txbxContent>
                            </v:textbox>
                          </v:shape>
                        </w:pict>
                      </mc:Fallback>
                    </mc:AlternateContent>
                  </w:r>
                  <w:r>
                    <w:rPr>
                      <w:sz w:val="24"/>
                    </w:rPr>
                    <w:drawing>
                      <wp:inline distT="0" distB="0" distL="114300" distR="114300">
                        <wp:extent cx="2913380" cy="2596515"/>
                        <wp:effectExtent l="0" t="0" r="12700" b="9525"/>
                        <wp:docPr id="58" name="图片 58" descr="c4d8ac0c2877e15a8f413d108599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4d8ac0c2877e15a8f413d108599e42"/>
                                <pic:cNvPicPr>
                                  <a:picLocks noChangeAspect="1"/>
                                </pic:cNvPicPr>
                              </pic:nvPicPr>
                              <pic:blipFill>
                                <a:blip r:embed="rId31"/>
                                <a:stretch>
                                  <a:fillRect/>
                                </a:stretch>
                              </pic:blipFill>
                              <pic:spPr>
                                <a:xfrm>
                                  <a:off x="0" y="0"/>
                                  <a:ext cx="2913380" cy="2596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8" w:type="dxa"/>
                  <w:vAlign w:val="top"/>
                </w:tcPr>
                <w:p>
                  <w:pPr>
                    <w:keepNext w:val="0"/>
                    <w:keepLines w:val="0"/>
                    <w:pageBreakBefore w:val="0"/>
                    <w:widowControl w:val="0"/>
                    <w:kinsoku/>
                    <w:wordWrap/>
                    <w:overflowPunct/>
                    <w:topLinePunct w:val="0"/>
                    <w:autoSpaceDE/>
                    <w:autoSpaceDN/>
                    <w:bidi w:val="0"/>
                    <w:spacing w:after="0" w:line="360" w:lineRule="auto"/>
                    <w:textAlignment w:val="auto"/>
                    <w:rPr>
                      <w:sz w:val="24"/>
                    </w:rPr>
                  </w:pPr>
                  <w:r>
                    <w:rPr>
                      <w:sz w:val="24"/>
                    </w:rPr>
                    <mc:AlternateContent>
                      <mc:Choice Requires="wps">
                        <w:drawing>
                          <wp:anchor distT="0" distB="0" distL="114300" distR="114300" simplePos="0" relativeHeight="251683840" behindDoc="0" locked="0" layoutInCell="1" allowOverlap="1">
                            <wp:simplePos x="0" y="0"/>
                            <wp:positionH relativeFrom="column">
                              <wp:posOffset>-10160</wp:posOffset>
                            </wp:positionH>
                            <wp:positionV relativeFrom="paragraph">
                              <wp:posOffset>1868805</wp:posOffset>
                            </wp:positionV>
                            <wp:extent cx="1068070" cy="29527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06807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移动式灭火器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147.15pt;height:23.25pt;width:84.1pt;z-index:251683840;mso-width-relative:page;mso-height-relative:page;" filled="f" stroked="f" coordsize="21600,21600" o:gfxdata="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Iv5N2wAAAAoBAAAPAAAAAAAAAAEAIAAAACIAAABk&#10;cnMvZG93bnJldi54bWxQSwECFAAUAAAACACHTuJA46jWZDwCAABoBAAADgAAAAAAAAABACAAAAAq&#10;AQAAZHJzL2Uyb0RvYy54bWxQSwUGAAAAAAYABgBZAQAA2AU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移动式灭火器</w:t>
                                  </w:r>
                                </w:p>
                              </w:txbxContent>
                            </v:textbox>
                          </v:shape>
                        </w:pict>
                      </mc:Fallback>
                    </mc:AlternateContent>
                  </w:r>
                  <w:r>
                    <w:rPr>
                      <w:rFonts w:hint="eastAsia" w:eastAsia="微软雅黑"/>
                      <w:sz w:val="24"/>
                      <w:lang w:eastAsia="zh-CN"/>
                    </w:rPr>
                    <w:drawing>
                      <wp:inline distT="0" distB="0" distL="114300" distR="114300">
                        <wp:extent cx="2904490" cy="2233930"/>
                        <wp:effectExtent l="0" t="0" r="6350" b="6350"/>
                        <wp:docPr id="61" name="图片 61" descr="9010a198a32b420134babc265538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9010a198a32b420134babc26553842f"/>
                                <pic:cNvPicPr>
                                  <a:picLocks noChangeAspect="1"/>
                                </pic:cNvPicPr>
                              </pic:nvPicPr>
                              <pic:blipFill>
                                <a:blip r:embed="rId32"/>
                                <a:srcRect t="31978"/>
                                <a:stretch>
                                  <a:fillRect/>
                                </a:stretch>
                              </pic:blipFill>
                              <pic:spPr>
                                <a:xfrm>
                                  <a:off x="0" y="0"/>
                                  <a:ext cx="2904490" cy="2233930"/>
                                </a:xfrm>
                                <a:prstGeom prst="rect">
                                  <a:avLst/>
                                </a:prstGeom>
                              </pic:spPr>
                            </pic:pic>
                          </a:graphicData>
                        </a:graphic>
                      </wp:inline>
                    </w:drawing>
                  </w:r>
                </w:p>
              </w:tc>
              <w:tc>
                <w:tcPr>
                  <w:tcW w:w="4809" w:type="dxa"/>
                  <w:vAlign w:val="top"/>
                </w:tcPr>
                <w:p>
                  <w:pPr>
                    <w:keepNext w:val="0"/>
                    <w:keepLines w:val="0"/>
                    <w:pageBreakBefore w:val="0"/>
                    <w:widowControl w:val="0"/>
                    <w:kinsoku/>
                    <w:wordWrap/>
                    <w:overflowPunct/>
                    <w:topLinePunct w:val="0"/>
                    <w:autoSpaceDE/>
                    <w:autoSpaceDN/>
                    <w:bidi w:val="0"/>
                    <w:spacing w:after="0" w:line="360" w:lineRule="auto"/>
                    <w:textAlignment w:val="auto"/>
                    <w:rPr>
                      <w:sz w:val="24"/>
                    </w:rPr>
                  </w:pPr>
                  <w:r>
                    <w:rPr>
                      <w:sz w:val="24"/>
                    </w:rPr>
                    <w:drawing>
                      <wp:inline distT="0" distB="0" distL="114300" distR="114300">
                        <wp:extent cx="2910840" cy="2277110"/>
                        <wp:effectExtent l="0" t="0" r="0" b="8890"/>
                        <wp:docPr id="12" name="图片 12" descr="71f76771dd25e2831ce856cfc6c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1f76771dd25e2831ce856cfc6c5934"/>
                                <pic:cNvPicPr>
                                  <a:picLocks noChangeAspect="1"/>
                                </pic:cNvPicPr>
                              </pic:nvPicPr>
                              <pic:blipFill>
                                <a:blip r:embed="rId33"/>
                                <a:stretch>
                                  <a:fillRect/>
                                </a:stretch>
                              </pic:blipFill>
                              <pic:spPr>
                                <a:xfrm>
                                  <a:off x="0" y="0"/>
                                  <a:ext cx="2910840" cy="2277110"/>
                                </a:xfrm>
                                <a:prstGeom prst="rect">
                                  <a:avLst/>
                                </a:prstGeom>
                              </pic:spPr>
                            </pic:pic>
                          </a:graphicData>
                        </a:graphic>
                      </wp:inline>
                    </w:drawing>
                  </w:r>
                  <w:r>
                    <w:rPr>
                      <w:sz w:val="24"/>
                    </w:rPr>
                    <mc:AlternateContent>
                      <mc:Choice Requires="wps">
                        <w:drawing>
                          <wp:anchor distT="0" distB="0" distL="114300" distR="114300" simplePos="0" relativeHeight="251684864" behindDoc="0" locked="0" layoutInCell="1" allowOverlap="1">
                            <wp:simplePos x="0" y="0"/>
                            <wp:positionH relativeFrom="column">
                              <wp:posOffset>-23495</wp:posOffset>
                            </wp:positionH>
                            <wp:positionV relativeFrom="paragraph">
                              <wp:posOffset>1930400</wp:posOffset>
                            </wp:positionV>
                            <wp:extent cx="2498725" cy="29527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49872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危废暂存仓库及储油罐废气治理设施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152pt;height:23.25pt;width:196.75pt;z-index:251684864;mso-width-relative:page;mso-height-relative:page;" filled="f" stroked="f" coordsize="21600,21600" o:gfxdata="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&#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IREtsAAAAKAQAADwAAAAAAAAABACAAAAAiAAAA&#10;ZHJzL2Rvd25yZXYueG1sUEsBAhQAFAAAAAgAh07iQC5zEOY9AgAAaAQAAA4AAAAAAAAAAQAgAAAA&#10;KgEAAGRycy9lMm9Eb2MueG1sUEsFBgAAAAAGAAYAWQEAANkFAAAAAA==&#10;">
                            <v:fill on="f" focussize="0,0"/>
                            <v:stroke on="f" weight="0.5pt"/>
                            <v:imagedata o:title=""/>
                            <o:lock v:ext="edit" aspectratio="f"/>
                            <v:textbox>
                              <w:txbxContent>
                                <w:p>
                                  <w:pPr>
                                    <w:rPr>
                                      <w:rFonts w:hint="default"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危废暂存仓库及储油罐废气治理设施</w:t>
                                  </w:r>
                                </w:p>
                              </w:txbxContent>
                            </v:textbox>
                          </v:shape>
                        </w:pict>
                      </mc:Fallback>
                    </mc:AlternateContent>
                  </w:r>
                </w:p>
              </w:tc>
            </w:tr>
          </w:tbl>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default" w:ascii="宋体" w:hAnsi="宋体" w:eastAsia="宋体"/>
                <w:b/>
                <w:bCs/>
                <w:color w:val="000000"/>
                <w:sz w:val="24"/>
                <w:szCs w:val="24"/>
                <w:lang w:val="en-US" w:eastAsia="zh-CN"/>
              </w:rPr>
            </w:pPr>
            <w:r>
              <w:rPr>
                <w:rFonts w:hint="eastAsia" w:ascii="宋体" w:hAnsi="宋体" w:eastAsia="宋体"/>
                <w:b/>
                <w:bCs/>
                <w:color w:val="000000"/>
                <w:sz w:val="24"/>
                <w:szCs w:val="24"/>
                <w:lang w:eastAsia="zh-CN"/>
              </w:rPr>
              <w:t>图</w:t>
            </w:r>
            <w:r>
              <w:rPr>
                <w:rFonts w:hint="eastAsia" w:ascii="宋体" w:hAnsi="宋体" w:eastAsia="宋体"/>
                <w:b/>
                <w:bCs/>
                <w:color w:val="000000"/>
                <w:sz w:val="24"/>
                <w:szCs w:val="24"/>
                <w:lang w:val="en-US" w:eastAsia="zh-CN"/>
              </w:rPr>
              <w:t>1 项目现场建设情况</w:t>
            </w:r>
          </w:p>
          <w:p>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eastAsiaTheme="minorEastAsia"/>
                <w:sz w:val="24"/>
                <w:szCs w:val="24"/>
              </w:rPr>
            </w:pPr>
          </w:p>
        </w:tc>
      </w:tr>
    </w:tbl>
    <w:p>
      <w:pPr>
        <w:pStyle w:val="24"/>
        <w:sectPr>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spacing w:after="0" w:line="360" w:lineRule="auto"/>
        <w:rPr>
          <w:rFonts w:hint="eastAsia" w:ascii="Times New Roman" w:hAnsi="Times New Roman" w:cs="Times New Roman" w:eastAsiaTheme="minorEastAsia"/>
          <w:b/>
          <w:color w:val="000000"/>
          <w:sz w:val="21"/>
          <w:szCs w:val="21"/>
          <w:lang w:val="en-US" w:eastAsia="zh-CN"/>
        </w:rPr>
      </w:pPr>
      <w:r>
        <w:rPr>
          <w:rFonts w:hint="eastAsia" w:ascii="Times New Roman" w:cs="Times New Roman" w:hAnsiTheme="minorEastAsia" w:eastAsiaTheme="minorEastAsia"/>
          <w:b/>
          <w:color w:val="000000"/>
          <w:sz w:val="28"/>
          <w:szCs w:val="28"/>
          <w:lang w:eastAsia="zh-CN"/>
        </w:rPr>
        <w:t>续</w:t>
      </w:r>
      <w:r>
        <w:rPr>
          <w:rFonts w:ascii="Times New Roman" w:cs="Times New Roman" w:hAnsiTheme="minorEastAsia" w:eastAsiaTheme="minorEastAsia"/>
          <w:b/>
          <w:color w:val="000000"/>
          <w:sz w:val="28"/>
          <w:szCs w:val="28"/>
        </w:rPr>
        <w:t>表二</w:t>
      </w:r>
    </w:p>
    <w:tbl>
      <w:tblPr>
        <w:tblStyle w:val="19"/>
        <w:tblW w:w="53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7" w:hRule="atLeast"/>
          <w:jc w:val="center"/>
        </w:trPr>
        <w:tc>
          <w:tcPr>
            <w:tcW w:w="5000" w:type="pct"/>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b/>
                <w:bCs w:val="0"/>
                <w:color w:val="000000"/>
                <w:sz w:val="24"/>
                <w:szCs w:val="24"/>
                <w:lang w:val="en-US" w:eastAsia="zh-CN"/>
              </w:rPr>
            </w:pPr>
            <w:r>
              <w:rPr>
                <w:rFonts w:hint="eastAsia" w:ascii="宋体" w:hAnsi="宋体" w:eastAsia="宋体"/>
                <w:b/>
                <w:bCs w:val="0"/>
                <w:color w:val="000000"/>
                <w:sz w:val="24"/>
                <w:szCs w:val="24"/>
                <w:lang w:eastAsia="zh-CN"/>
              </w:rPr>
              <w:t>表</w:t>
            </w:r>
            <w:r>
              <w:rPr>
                <w:rFonts w:hint="eastAsia" w:ascii="宋体" w:hAnsi="宋体" w:eastAsia="宋体"/>
                <w:b/>
                <w:bCs w:val="0"/>
                <w:color w:val="000000"/>
                <w:sz w:val="24"/>
                <w:szCs w:val="24"/>
                <w:lang w:val="en-US" w:eastAsia="zh-CN"/>
              </w:rPr>
              <w:t>3  危废收集、暂存方案一览表</w:t>
            </w:r>
          </w:p>
          <w:tbl>
            <w:tblPr>
              <w:tblStyle w:val="19"/>
              <w:tblW w:w="151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3"/>
              <w:gridCol w:w="1050"/>
              <w:gridCol w:w="1469"/>
              <w:gridCol w:w="1335"/>
              <w:gridCol w:w="825"/>
              <w:gridCol w:w="675"/>
              <w:gridCol w:w="810"/>
              <w:gridCol w:w="585"/>
              <w:gridCol w:w="1320"/>
              <w:gridCol w:w="740"/>
              <w:gridCol w:w="675"/>
              <w:gridCol w:w="810"/>
              <w:gridCol w:w="769"/>
              <w:gridCol w:w="3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7522" w:type="dxa"/>
                  <w:gridSpan w:val="8"/>
                  <w:tcBorders>
                    <w:top w:val="single" w:color="000000" w:sz="12" w:space="0"/>
                    <w:left w:val="single" w:color="000000" w:sz="8"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eastAsia" w:ascii="宋体" w:hAnsi="宋体" w:eastAsia="宋体" w:cs="宋体"/>
                      <w:b/>
                      <w:bCs/>
                      <w:color w:val="000000"/>
                      <w:sz w:val="18"/>
                      <w:szCs w:val="18"/>
                      <w:lang w:eastAsia="zh-CN"/>
                    </w:rPr>
                    <w:t>环评与批复</w:t>
                  </w:r>
                </w:p>
              </w:tc>
              <w:tc>
                <w:tcPr>
                  <w:tcW w:w="4314" w:type="dxa"/>
                  <w:gridSpan w:val="5"/>
                  <w:tcBorders>
                    <w:top w:val="single" w:color="000000"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left="0" w:leftChars="0" w:right="0" w:rightChars="0" w:firstLine="0" w:firstLineChars="0"/>
                    <w:jc w:val="center"/>
                    <w:textAlignment w:val="auto"/>
                    <w:outlineLvl w:val="9"/>
                    <w:rPr>
                      <w:rFonts w:hint="default" w:ascii="Times New Roman" w:hAnsi="Times New Roman" w:eastAsia="宋体" w:cs="Times New Roman"/>
                      <w:sz w:val="18"/>
                      <w:szCs w:val="18"/>
                    </w:rPr>
                  </w:pPr>
                  <w:r>
                    <w:rPr>
                      <w:rFonts w:hint="eastAsia" w:ascii="宋体" w:hAnsi="宋体" w:eastAsia="宋体" w:cs="宋体"/>
                      <w:b/>
                      <w:bCs/>
                      <w:color w:val="000000" w:themeColor="text1"/>
                      <w:sz w:val="18"/>
                      <w:szCs w:val="18"/>
                      <w:lang w:eastAsia="zh-CN"/>
                      <w14:textFill>
                        <w14:solidFill>
                          <w14:schemeClr w14:val="tx1"/>
                        </w14:solidFill>
                      </w14:textFill>
                    </w:rPr>
                    <w:t>实际建设</w:t>
                  </w:r>
                </w:p>
              </w:tc>
              <w:tc>
                <w:tcPr>
                  <w:tcW w:w="3266" w:type="dxa"/>
                  <w:vMerge w:val="restart"/>
                  <w:tcBorders>
                    <w:top w:val="single" w:color="000000" w:sz="12"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left="0" w:leftChars="0" w:right="0" w:rightChars="0" w:firstLine="0" w:firstLineChars="0"/>
                    <w:jc w:val="center"/>
                    <w:textAlignment w:val="auto"/>
                    <w:outlineLvl w:val="9"/>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773" w:type="dxa"/>
                  <w:tcBorders>
                    <w:top w:val="single" w:color="000000" w:sz="12" w:space="0"/>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危废类别</w:t>
                  </w:r>
                </w:p>
              </w:tc>
              <w:tc>
                <w:tcPr>
                  <w:tcW w:w="1050"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危废代码</w:t>
                  </w:r>
                </w:p>
              </w:tc>
              <w:tc>
                <w:tcPr>
                  <w:tcW w:w="1469"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废物名称</w:t>
                  </w:r>
                </w:p>
              </w:tc>
              <w:tc>
                <w:tcPr>
                  <w:tcW w:w="1335"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储存方式</w:t>
                  </w:r>
                </w:p>
              </w:tc>
              <w:tc>
                <w:tcPr>
                  <w:tcW w:w="825"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最大储存量（t）</w:t>
                  </w:r>
                </w:p>
              </w:tc>
              <w:tc>
                <w:tcPr>
                  <w:tcW w:w="675"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暂存时间（d）</w:t>
                  </w:r>
                </w:p>
              </w:tc>
              <w:tc>
                <w:tcPr>
                  <w:tcW w:w="810"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年最大周转量（t）</w:t>
                  </w:r>
                </w:p>
              </w:tc>
              <w:tc>
                <w:tcPr>
                  <w:tcW w:w="585" w:type="dxa"/>
                  <w:tcBorders>
                    <w:top w:val="single" w:color="000000" w:sz="12"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形态</w:t>
                  </w:r>
                </w:p>
              </w:tc>
              <w:tc>
                <w:tcPr>
                  <w:tcW w:w="1320"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储存方式</w:t>
                  </w:r>
                </w:p>
              </w:tc>
              <w:tc>
                <w:tcPr>
                  <w:tcW w:w="740"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最大储存量（t）</w:t>
                  </w:r>
                </w:p>
              </w:tc>
              <w:tc>
                <w:tcPr>
                  <w:tcW w:w="675"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暂存时间（d）</w:t>
                  </w:r>
                </w:p>
              </w:tc>
              <w:tc>
                <w:tcPr>
                  <w:tcW w:w="810"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年最大周转量（t）</w:t>
                  </w:r>
                </w:p>
              </w:tc>
              <w:tc>
                <w:tcPr>
                  <w:tcW w:w="769"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形态</w:t>
                  </w:r>
                </w:p>
              </w:tc>
              <w:tc>
                <w:tcPr>
                  <w:tcW w:w="3266" w:type="dxa"/>
                  <w:vMerge w:val="continue"/>
                  <w:tcBorders>
                    <w:left w:val="single" w:color="auto" w:sz="4" w:space="0"/>
                    <w:righ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773" w:type="dxa"/>
                  <w:vMerge w:val="restart"/>
                  <w:tcBorders>
                    <w:top w:val="single" w:color="000000" w:sz="12" w:space="0"/>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HW08</w:t>
                  </w:r>
                </w:p>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废矿物油与含矿物油废物</w:t>
                  </w:r>
                </w:p>
              </w:tc>
              <w:tc>
                <w:tcPr>
                  <w:tcW w:w="1050"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900-199-08</w:t>
                  </w:r>
                </w:p>
              </w:tc>
              <w:tc>
                <w:tcPr>
                  <w:tcW w:w="1469"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汽车集中拆解过程产生的废矿物油及油泥</w:t>
                  </w:r>
                </w:p>
              </w:tc>
              <w:tc>
                <w:tcPr>
                  <w:tcW w:w="1335"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储罐</w:t>
                  </w:r>
                </w:p>
              </w:tc>
              <w:tc>
                <w:tcPr>
                  <w:tcW w:w="825"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675" w:type="dxa"/>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10" w:type="dxa"/>
                  <w:vMerge w:val="restart"/>
                  <w:tcBorders>
                    <w:top w:val="single" w:color="000000" w:sz="12"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7000</w:t>
                  </w:r>
                </w:p>
              </w:tc>
              <w:tc>
                <w:tcPr>
                  <w:tcW w:w="585" w:type="dxa"/>
                  <w:tcBorders>
                    <w:top w:val="single" w:color="000000" w:sz="12"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液态</w:t>
                  </w:r>
                </w:p>
              </w:tc>
              <w:tc>
                <w:tcPr>
                  <w:tcW w:w="1320"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储罐</w:t>
                  </w:r>
                </w:p>
              </w:tc>
              <w:tc>
                <w:tcPr>
                  <w:tcW w:w="740"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675"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10" w:type="dxa"/>
                  <w:vMerge w:val="restart"/>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7000</w:t>
                  </w:r>
                </w:p>
              </w:tc>
              <w:tc>
                <w:tcPr>
                  <w:tcW w:w="769" w:type="dxa"/>
                  <w:tcBorders>
                    <w:top w:val="single" w:color="000000" w:sz="12"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液态</w:t>
                  </w:r>
                </w:p>
              </w:tc>
              <w:tc>
                <w:tcPr>
                  <w:tcW w:w="3266" w:type="dxa"/>
                  <w:tcBorders>
                    <w:top w:val="single" w:color="000000" w:sz="12" w:space="0"/>
                    <w:left w:val="single" w:color="auto" w:sz="4" w:space="0"/>
                    <w:righ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与环评</w:t>
                  </w:r>
                  <w:r>
                    <w:rPr>
                      <w:rFonts w:hint="eastAsia" w:ascii="Times New Roman" w:hAnsi="Times New Roman" w:eastAsia="宋体" w:cs="Times New Roman"/>
                      <w:sz w:val="18"/>
                      <w:szCs w:val="18"/>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jc w:val="center"/>
              </w:trPr>
              <w:tc>
                <w:tcPr>
                  <w:tcW w:w="773" w:type="dxa"/>
                  <w:vMerge w:val="continue"/>
                  <w:tcBorders>
                    <w:top w:val="nil"/>
                    <w:lef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900-249-08</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其他生产、销售、使用过程中产生的废矿物油及含矿物油废物</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储罐</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10" w:type="dxa"/>
                  <w:vMerge w:val="continue"/>
                  <w:tcBorders>
                    <w:top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液态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储罐</w:t>
                  </w:r>
                </w:p>
              </w:tc>
              <w:tc>
                <w:tcPr>
                  <w:tcW w:w="74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675"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1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p>
              </w:tc>
              <w:tc>
                <w:tcPr>
                  <w:tcW w:w="769"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液态</w:t>
                  </w:r>
                </w:p>
              </w:tc>
              <w:tc>
                <w:tcPr>
                  <w:tcW w:w="3266" w:type="dxa"/>
                  <w:tcBorders>
                    <w:left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773" w:type="dxa"/>
                  <w:tcBorders>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HW10多氯（溴）联苯类</w:t>
                  </w:r>
                </w:p>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废物</w:t>
                  </w: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900-008-10</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含 多 氯 联 苯（PCBs）的废电容器</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密封塑料箱/ 桶</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密封塑料箱/ 桶</w:t>
                  </w:r>
                </w:p>
              </w:tc>
              <w:tc>
                <w:tcPr>
                  <w:tcW w:w="74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75"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1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1000</w:t>
                  </w:r>
                </w:p>
              </w:tc>
              <w:tc>
                <w:tcPr>
                  <w:tcW w:w="769"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固态</w:t>
                  </w:r>
                </w:p>
              </w:tc>
              <w:tc>
                <w:tcPr>
                  <w:tcW w:w="3266" w:type="dxa"/>
                  <w:tcBorders>
                    <w:left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773" w:type="dxa"/>
                  <w:tcBorders>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HW12</w:t>
                  </w:r>
                </w:p>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染料、涂料废物</w:t>
                  </w: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900-252-12</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废油漆、漆渣</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密封塑料箱/ 桶</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密封塑料箱/ 桶</w:t>
                  </w:r>
                </w:p>
              </w:tc>
              <w:tc>
                <w:tcPr>
                  <w:tcW w:w="74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6</w:t>
                  </w:r>
                </w:p>
              </w:tc>
              <w:tc>
                <w:tcPr>
                  <w:tcW w:w="675"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1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2000</w:t>
                  </w:r>
                </w:p>
              </w:tc>
              <w:tc>
                <w:tcPr>
                  <w:tcW w:w="769"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3266" w:type="dxa"/>
                  <w:tcBorders>
                    <w:left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773" w:type="dxa"/>
                  <w:tcBorders>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HW15爆炸性废物</w:t>
                  </w: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900-018-15</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报废机动车拆解后收集的未引爆的安全气囊</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防爆桶</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4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675"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81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69"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266" w:type="dxa"/>
                  <w:tcBorders>
                    <w:left w:val="single" w:color="auto" w:sz="4" w:space="0"/>
                    <w:righ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根据国家危险废物名录（2021年版）报废机动车拆解后收集的未引爆的安全气囊不再作为危废管理。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773" w:type="dxa"/>
                  <w:tcBorders>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HW29含汞废物</w:t>
                  </w: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900-023-29</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包括废含汞荧光灯管和废含汞电光源</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密封塑料箱/桶</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密封塑料箱/桶</w:t>
                  </w:r>
                </w:p>
              </w:tc>
              <w:tc>
                <w:tcPr>
                  <w:tcW w:w="74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75"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81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769"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3266" w:type="dxa"/>
                  <w:tcBorders>
                    <w:left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773" w:type="dxa"/>
                  <w:tcBorders>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HW36石棉废物</w:t>
                  </w: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900-032-36</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车辆保养、拆解产生的石棉废物</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内塑外编的吨袋</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内塑外编的吨袋</w:t>
                  </w:r>
                </w:p>
              </w:tc>
              <w:tc>
                <w:tcPr>
                  <w:tcW w:w="74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75"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1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1000</w:t>
                  </w:r>
                </w:p>
              </w:tc>
              <w:tc>
                <w:tcPr>
                  <w:tcW w:w="769"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3266" w:type="dxa"/>
                  <w:tcBorders>
                    <w:left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773" w:type="dxa"/>
                  <w:vMerge w:val="restart"/>
                  <w:tcBorders>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HW49其他废物</w:t>
                  </w: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900-041-49</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废滤芯、废活性炭、废油桶、废油漆桶、废过滤棉</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密封塑料箱/桶/内塑外编的吨袋</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密封塑料箱/桶/内塑外编的吨袋</w:t>
                  </w:r>
                </w:p>
              </w:tc>
              <w:tc>
                <w:tcPr>
                  <w:tcW w:w="740" w:type="dxa"/>
                  <w:tcBorders>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auto"/>
                      <w:sz w:val="18"/>
                      <w:szCs w:val="18"/>
                    </w:rPr>
                    <w:t>40</w:t>
                  </w:r>
                </w:p>
              </w:tc>
              <w:tc>
                <w:tcPr>
                  <w:tcW w:w="675" w:type="dxa"/>
                  <w:tcBorders>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color w:val="auto"/>
                      <w:sz w:val="18"/>
                      <w:szCs w:val="18"/>
                    </w:rPr>
                    <w:t>1</w:t>
                  </w:r>
                </w:p>
              </w:tc>
              <w:tc>
                <w:tcPr>
                  <w:tcW w:w="810" w:type="dxa"/>
                  <w:tcBorders>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15000</w:t>
                  </w:r>
                </w:p>
              </w:tc>
              <w:tc>
                <w:tcPr>
                  <w:tcW w:w="769" w:type="dxa"/>
                  <w:tcBorders>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3266" w:type="dxa"/>
                  <w:tcBorders>
                    <w:left w:val="single" w:color="auto" w:sz="4" w:space="0"/>
                    <w:bottom w:val="single" w:color="auto" w:sz="4" w:space="0"/>
                    <w:righ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773" w:type="dxa"/>
                  <w:vMerge w:val="continue"/>
                  <w:tcBorders>
                    <w:top w:val="nil"/>
                    <w:lef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900-044-49</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废弃的铅蓄电池</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塑料密封箱/桶</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40" w:type="dxa"/>
                  <w:tcBorders>
                    <w:top w:val="single" w:color="auto" w:sz="4" w:space="0"/>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675" w:type="dxa"/>
                  <w:tcBorders>
                    <w:top w:val="single" w:color="auto" w:sz="4" w:space="0"/>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69" w:type="dxa"/>
                  <w:tcBorders>
                    <w:top w:val="single" w:color="auto" w:sz="4" w:space="0"/>
                    <w:left w:val="single" w:color="auto" w:sz="4" w:space="0"/>
                    <w:bottom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266" w:type="dxa"/>
                  <w:tcBorders>
                    <w:top w:val="single" w:color="auto" w:sz="4" w:space="0"/>
                    <w:left w:val="single" w:color="auto" w:sz="4" w:space="0"/>
                    <w:bottom w:val="single" w:color="auto" w:sz="4" w:space="0"/>
                    <w:righ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企业不进行</w:t>
                  </w:r>
                  <w:r>
                    <w:rPr>
                      <w:rFonts w:hint="default" w:ascii="Times New Roman" w:hAnsi="Times New Roman" w:eastAsia="宋体" w:cs="Times New Roman"/>
                      <w:color w:val="auto"/>
                      <w:sz w:val="18"/>
                      <w:szCs w:val="18"/>
                      <w:lang w:val="en-US"/>
                    </w:rPr>
                    <w:t>废弃</w:t>
                  </w:r>
                </w:p>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auto"/>
                      <w:sz w:val="18"/>
                      <w:szCs w:val="18"/>
                      <w:lang w:val="en-US"/>
                    </w:rPr>
                    <w:t>的铅蓄电池</w:t>
                  </w:r>
                  <w:r>
                    <w:rPr>
                      <w:rFonts w:hint="eastAsia" w:ascii="Times New Roman" w:hAnsi="Times New Roman" w:eastAsia="宋体" w:cs="Times New Roman"/>
                      <w:color w:val="auto"/>
                      <w:sz w:val="18"/>
                      <w:szCs w:val="18"/>
                      <w:lang w:val="en-US" w:eastAsia="zh-CN"/>
                    </w:rPr>
                    <w:t>的贮存</w:t>
                  </w:r>
                  <w:r>
                    <w:rPr>
                      <w:rFonts w:hint="eastAsia" w:ascii="Times New Roman" w:hAnsi="Times New Roman" w:cs="Times New Roman"/>
                      <w:color w:val="auto"/>
                      <w:sz w:val="18"/>
                      <w:szCs w:val="18"/>
                      <w:lang w:val="en-US" w:eastAsia="zh-CN"/>
                    </w:rPr>
                    <w:t>和转运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773" w:type="dxa"/>
                  <w:vMerge w:val="continue"/>
                  <w:tcBorders>
                    <w:top w:val="nil"/>
                    <w:lef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900-045-49</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废电路板</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密封塑料箱/桶</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密封塑料箱/桶</w:t>
                  </w:r>
                </w:p>
              </w:tc>
              <w:tc>
                <w:tcPr>
                  <w:tcW w:w="740" w:type="dxa"/>
                  <w:tcBorders>
                    <w:top w:val="single" w:color="auto" w:sz="4"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10</w:t>
                  </w:r>
                </w:p>
              </w:tc>
              <w:tc>
                <w:tcPr>
                  <w:tcW w:w="675" w:type="dxa"/>
                  <w:tcBorders>
                    <w:top w:val="single" w:color="auto" w:sz="4"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10" w:type="dxa"/>
                  <w:tcBorders>
                    <w:top w:val="single" w:color="auto" w:sz="4"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3000</w:t>
                  </w:r>
                </w:p>
              </w:tc>
              <w:tc>
                <w:tcPr>
                  <w:tcW w:w="769" w:type="dxa"/>
                  <w:tcBorders>
                    <w:top w:val="single" w:color="auto" w:sz="4" w:space="0"/>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固态</w:t>
                  </w:r>
                </w:p>
              </w:tc>
              <w:tc>
                <w:tcPr>
                  <w:tcW w:w="3266" w:type="dxa"/>
                  <w:tcBorders>
                    <w:top w:val="single" w:color="auto" w:sz="4" w:space="0"/>
                    <w:left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773" w:type="dxa"/>
                  <w:tcBorders>
                    <w:lef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HW50废催化剂</w:t>
                  </w:r>
                </w:p>
              </w:tc>
              <w:tc>
                <w:tcPr>
                  <w:tcW w:w="105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900-049-50</w:t>
                  </w:r>
                </w:p>
              </w:tc>
              <w:tc>
                <w:tcPr>
                  <w:tcW w:w="1469"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废汽车尾气净化催化剂</w:t>
                  </w:r>
                </w:p>
              </w:tc>
              <w:tc>
                <w:tcPr>
                  <w:tcW w:w="133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密封塑料箱/桶</w:t>
                  </w:r>
                </w:p>
              </w:tc>
              <w:tc>
                <w:tcPr>
                  <w:tcW w:w="82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75"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10" w:type="dxa"/>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1000</w:t>
                  </w:r>
                </w:p>
              </w:tc>
              <w:tc>
                <w:tcPr>
                  <w:tcW w:w="585" w:type="dxa"/>
                  <w:tcBorders>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固态</w:t>
                  </w:r>
                </w:p>
              </w:tc>
              <w:tc>
                <w:tcPr>
                  <w:tcW w:w="132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密封塑料箱/桶</w:t>
                  </w:r>
                </w:p>
              </w:tc>
              <w:tc>
                <w:tcPr>
                  <w:tcW w:w="74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675"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10"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1000</w:t>
                  </w:r>
                </w:p>
              </w:tc>
              <w:tc>
                <w:tcPr>
                  <w:tcW w:w="769" w:type="dxa"/>
                  <w:tcBorders>
                    <w:left w:val="single" w:color="auto" w:sz="4"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固态</w:t>
                  </w:r>
                </w:p>
              </w:tc>
              <w:tc>
                <w:tcPr>
                  <w:tcW w:w="3266" w:type="dxa"/>
                  <w:tcBorders>
                    <w:left w:val="single" w:color="auto" w:sz="4" w:space="0"/>
                    <w:right w:val="single" w:color="000000" w:sz="8"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bidi="ar-SA"/>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773" w:type="dxa"/>
                  <w:tcBorders>
                    <w:left w:val="single" w:color="000000" w:sz="8" w:space="0"/>
                    <w:bottom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合计</w:t>
                  </w:r>
                </w:p>
              </w:tc>
              <w:tc>
                <w:tcPr>
                  <w:tcW w:w="1050" w:type="dxa"/>
                  <w:tcBorders>
                    <w:bottom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1469" w:type="dxa"/>
                  <w:tcBorders>
                    <w:bottom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1335" w:type="dxa"/>
                  <w:tcBorders>
                    <w:bottom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825" w:type="dxa"/>
                  <w:tcBorders>
                    <w:bottom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129</w:t>
                  </w:r>
                </w:p>
              </w:tc>
              <w:tc>
                <w:tcPr>
                  <w:tcW w:w="675" w:type="dxa"/>
                  <w:tcBorders>
                    <w:bottom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810" w:type="dxa"/>
                  <w:tcBorders>
                    <w:bottom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40000</w:t>
                  </w:r>
                </w:p>
              </w:tc>
              <w:tc>
                <w:tcPr>
                  <w:tcW w:w="585" w:type="dxa"/>
                  <w:tcBorders>
                    <w:bottom w:val="single" w:color="000000" w:sz="8"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320" w:type="dxa"/>
                  <w:tcBorders>
                    <w:left w:val="single" w:color="auto" w:sz="4" w:space="0"/>
                    <w:bottom w:val="single" w:color="000000" w:sz="8"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w:t>
                  </w:r>
                </w:p>
              </w:tc>
              <w:tc>
                <w:tcPr>
                  <w:tcW w:w="740" w:type="dxa"/>
                  <w:tcBorders>
                    <w:left w:val="single" w:color="auto" w:sz="4" w:space="0"/>
                    <w:bottom w:val="single" w:color="000000" w:sz="8"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96</w:t>
                  </w:r>
                </w:p>
              </w:tc>
              <w:tc>
                <w:tcPr>
                  <w:tcW w:w="675" w:type="dxa"/>
                  <w:tcBorders>
                    <w:left w:val="single" w:color="auto" w:sz="4" w:space="0"/>
                    <w:bottom w:val="single" w:color="000000" w:sz="8"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sz w:val="18"/>
                      <w:szCs w:val="18"/>
                      <w:lang w:val="en-US" w:eastAsia="zh-CN"/>
                    </w:rPr>
                    <w:t>/</w:t>
                  </w:r>
                </w:p>
              </w:tc>
              <w:tc>
                <w:tcPr>
                  <w:tcW w:w="810" w:type="dxa"/>
                  <w:tcBorders>
                    <w:left w:val="single" w:color="auto" w:sz="4" w:space="0"/>
                    <w:bottom w:val="single" w:color="000000" w:sz="8"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sz w:val="18"/>
                      <w:szCs w:val="18"/>
                      <w:lang w:val="en-US" w:eastAsia="zh-CN"/>
                    </w:rPr>
                    <w:t>30500</w:t>
                  </w:r>
                </w:p>
              </w:tc>
              <w:tc>
                <w:tcPr>
                  <w:tcW w:w="769" w:type="dxa"/>
                  <w:tcBorders>
                    <w:left w:val="single" w:color="auto" w:sz="4" w:space="0"/>
                    <w:bottom w:val="single" w:color="000000" w:sz="8" w:space="0"/>
                    <w:right w:val="single" w:color="auto" w:sz="4"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w:t>
                  </w:r>
                </w:p>
              </w:tc>
              <w:tc>
                <w:tcPr>
                  <w:tcW w:w="3266" w:type="dxa"/>
                  <w:tcBorders>
                    <w:left w:val="single" w:color="auto" w:sz="4" w:space="0"/>
                    <w:bottom w:val="single" w:color="000000" w:sz="8" w:space="0"/>
                    <w:right w:val="single" w:color="000000" w:sz="8" w:space="0"/>
                  </w:tcBorders>
                  <w:vAlign w:val="center"/>
                </w:tcPr>
                <w:p>
                  <w:pPr>
                    <w:pStyle w:val="59"/>
                    <w:keepNext w:val="0"/>
                    <w:keepLines w:val="0"/>
                    <w:pageBreakBefore w:val="0"/>
                    <w:widowControl/>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厂区原储存、转运危险废物共8类11种，建成后储存、转运危险废物实际共7类9种，最大储存量及年周转量均减少。</w:t>
                  </w:r>
                </w:p>
              </w:tc>
            </w:tr>
          </w:tbl>
          <w:p>
            <w:pPr>
              <w:keepNext w:val="0"/>
              <w:keepLines w:val="0"/>
              <w:pageBreakBefore w:val="0"/>
              <w:widowControl/>
              <w:kinsoku/>
              <w:wordWrap/>
              <w:overflowPunct/>
              <w:topLinePunct w:val="0"/>
              <w:autoSpaceDE/>
              <w:autoSpaceDN/>
              <w:bidi w:val="0"/>
              <w:adjustRightInd w:val="0"/>
              <w:snapToGrid w:val="0"/>
              <w:spacing w:after="0" w:line="240" w:lineRule="auto"/>
              <w:ind w:left="0" w:firstLine="480" w:firstLineChars="200"/>
              <w:textAlignment w:val="auto"/>
              <w:rPr>
                <w:rFonts w:hint="eastAsia" w:eastAsiaTheme="minorEastAsia"/>
                <w:sz w:val="24"/>
                <w:szCs w:val="24"/>
                <w:lang w:val="en-US" w:eastAsia="zh-CN"/>
              </w:rPr>
            </w:pPr>
          </w:p>
        </w:tc>
      </w:tr>
    </w:tbl>
    <w:p>
      <w:pPr>
        <w:spacing w:after="0" w:line="360" w:lineRule="auto"/>
        <w:rPr>
          <w:rFonts w:hint="eastAsia" w:ascii="Times New Roman" w:cs="Times New Roman" w:hAnsiTheme="minorEastAsia" w:eastAsiaTheme="minorEastAsia"/>
          <w:color w:val="000000"/>
          <w:sz w:val="24"/>
          <w:szCs w:val="24"/>
          <w:lang w:eastAsia="zh-CN"/>
        </w:rPr>
        <w:sectPr>
          <w:headerReference r:id="rId7" w:type="default"/>
          <w:footerReference r:id="rId8" w:type="default"/>
          <w:pgSz w:w="16838" w:h="11906" w:orient="landscape"/>
          <w:pgMar w:top="1080" w:right="1440" w:bottom="1080" w:left="144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cs="Times New Roman" w:hAnsiTheme="minorEastAsia" w:eastAsiaTheme="minorEastAsia"/>
          <w:b/>
          <w:color w:val="000000"/>
          <w:sz w:val="28"/>
          <w:szCs w:val="28"/>
        </w:rPr>
      </w:pPr>
      <w:r>
        <w:rPr>
          <w:rFonts w:hint="eastAsia" w:ascii="Times New Roman" w:cs="Times New Roman" w:hAnsiTheme="minorEastAsia" w:eastAsiaTheme="minorEastAsia"/>
          <w:b/>
          <w:color w:val="000000"/>
          <w:sz w:val="28"/>
          <w:szCs w:val="28"/>
          <w:lang w:eastAsia="zh-CN"/>
        </w:rPr>
        <w:t>续</w:t>
      </w:r>
      <w:r>
        <w:rPr>
          <w:rFonts w:ascii="Times New Roman" w:cs="Times New Roman" w:hAnsiTheme="minorEastAsia" w:eastAsiaTheme="minorEastAsia"/>
          <w:b/>
          <w:color w:val="000000"/>
          <w:sz w:val="28"/>
          <w:szCs w:val="28"/>
        </w:rPr>
        <w:t>表二</w:t>
      </w:r>
    </w:p>
    <w:tbl>
      <w:tblPr>
        <w:tblStyle w:val="19"/>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8" w:hRule="atLeast"/>
          <w:jc w:val="center"/>
        </w:trPr>
        <w:tc>
          <w:tcPr>
            <w:tcW w:w="9698"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eastAsia="宋体"/>
                <w:b/>
                <w:bCs w:val="0"/>
                <w:color w:val="000000"/>
                <w:sz w:val="24"/>
                <w:szCs w:val="24"/>
                <w:lang w:eastAsia="zh-CN"/>
              </w:rPr>
            </w:pPr>
            <w:r>
              <w:rPr>
                <w:rFonts w:hint="eastAsia" w:ascii="宋体" w:hAnsi="宋体" w:eastAsia="宋体"/>
                <w:b/>
                <w:bCs w:val="0"/>
                <w:color w:val="000000"/>
                <w:sz w:val="24"/>
                <w:szCs w:val="24"/>
                <w:lang w:eastAsia="zh-CN"/>
              </w:rPr>
              <w:t>表</w:t>
            </w:r>
            <w:r>
              <w:rPr>
                <w:rFonts w:hint="eastAsia" w:ascii="宋体" w:hAnsi="宋体" w:eastAsia="宋体"/>
                <w:b/>
                <w:bCs w:val="0"/>
                <w:color w:val="000000"/>
                <w:sz w:val="24"/>
                <w:szCs w:val="24"/>
                <w:lang w:val="en-US" w:eastAsia="zh-CN"/>
              </w:rPr>
              <w:t>4  扩建项目</w:t>
            </w:r>
            <w:r>
              <w:rPr>
                <w:rFonts w:hint="eastAsia" w:ascii="宋体" w:hAnsi="宋体" w:eastAsia="宋体"/>
                <w:b/>
                <w:bCs w:val="0"/>
                <w:color w:val="000000"/>
                <w:sz w:val="24"/>
                <w:szCs w:val="24"/>
                <w:lang w:eastAsia="zh-CN"/>
              </w:rPr>
              <w:t>主要生产设备一览表</w:t>
            </w:r>
          </w:p>
          <w:tbl>
            <w:tblPr>
              <w:tblStyle w:val="19"/>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22"/>
              <w:gridCol w:w="952"/>
              <w:gridCol w:w="886"/>
              <w:gridCol w:w="1072"/>
              <w:gridCol w:w="1080"/>
              <w:gridCol w:w="801"/>
              <w:gridCol w:w="833"/>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2352"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环评与批复</w:t>
                  </w:r>
                </w:p>
              </w:tc>
              <w:tc>
                <w:tcPr>
                  <w:tcW w:w="144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实际建设</w:t>
                  </w:r>
                </w:p>
              </w:tc>
              <w:tc>
                <w:tcPr>
                  <w:tcW w:w="80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b/>
                      <w:bCs/>
                      <w:color w:val="00000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p>
              </w:tc>
              <w:tc>
                <w:tcPr>
                  <w:tcW w:w="80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设备名称</w:t>
                  </w:r>
                </w:p>
              </w:tc>
              <w:tc>
                <w:tcPr>
                  <w:tcW w:w="505"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规格</w:t>
                  </w:r>
                </w:p>
              </w:tc>
              <w:tc>
                <w:tcPr>
                  <w:tcW w:w="47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val="en-US" w:eastAsia="zh-CN"/>
                    </w:rPr>
                    <w:t>单位</w:t>
                  </w:r>
                </w:p>
              </w:tc>
              <w:tc>
                <w:tcPr>
                  <w:tcW w:w="568"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lang w:eastAsia="zh-CN"/>
                    </w:rPr>
                    <w:t>数量</w:t>
                  </w:r>
                </w:p>
              </w:tc>
              <w:tc>
                <w:tcPr>
                  <w:tcW w:w="57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eastAsia="zh-CN"/>
                    </w:rPr>
                    <w:t>规格型号</w:t>
                  </w:r>
                </w:p>
              </w:tc>
              <w:tc>
                <w:tcPr>
                  <w:tcW w:w="425"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eastAsia="zh-CN"/>
                    </w:rPr>
                    <w:t>单位</w:t>
                  </w:r>
                </w:p>
              </w:tc>
              <w:tc>
                <w:tcPr>
                  <w:tcW w:w="44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数量</w:t>
                  </w:r>
                </w:p>
              </w:tc>
              <w:tc>
                <w:tcPr>
                  <w:tcW w:w="80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9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8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储油罐</w:t>
                  </w: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15m</w:t>
                  </w:r>
                  <w:r>
                    <w:rPr>
                      <w:rFonts w:hint="default" w:ascii="Times New Roman" w:hAnsi="Times New Roman" w:eastAsia="宋体" w:cs="Times New Roman"/>
                      <w:color w:val="000000"/>
                      <w:sz w:val="21"/>
                      <w:szCs w:val="21"/>
                      <w:vertAlign w:val="superscript"/>
                      <w:lang w:val="en-US" w:eastAsia="zh-CN"/>
                    </w:rPr>
                    <w:t>3</w:t>
                  </w:r>
                </w:p>
              </w:tc>
              <w:tc>
                <w:tcPr>
                  <w:tcW w:w="4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个</w:t>
                  </w: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2</w:t>
                  </w:r>
                </w:p>
              </w:tc>
              <w:tc>
                <w:tcPr>
                  <w:tcW w:w="57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15m</w:t>
                  </w:r>
                  <w:r>
                    <w:rPr>
                      <w:rFonts w:hint="default" w:ascii="Times New Roman" w:hAnsi="Times New Roman" w:eastAsia="宋体" w:cs="Times New Roman"/>
                      <w:color w:val="000000"/>
                      <w:sz w:val="21"/>
                      <w:szCs w:val="21"/>
                      <w:vertAlign w:val="superscript"/>
                      <w:lang w:val="en-US" w:eastAsia="zh-CN"/>
                    </w:rPr>
                    <w:t>3</w:t>
                  </w:r>
                </w:p>
              </w:tc>
              <w:tc>
                <w:tcPr>
                  <w:tcW w:w="42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sz w:val="21"/>
                      <w:szCs w:val="21"/>
                      <w:lang w:val="en-US" w:eastAsia="zh-CN"/>
                    </w:rPr>
                    <w:t>个</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bidi="ar-SA"/>
                    </w:rPr>
                    <w:t>2</w:t>
                  </w:r>
                </w:p>
              </w:tc>
              <w:tc>
                <w:tcPr>
                  <w:tcW w:w="8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9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输油泵</w:t>
                  </w:r>
                </w:p>
              </w:tc>
              <w:tc>
                <w:tcPr>
                  <w:tcW w:w="5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w:t>
                  </w:r>
                </w:p>
              </w:tc>
              <w:tc>
                <w:tcPr>
                  <w:tcW w:w="4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5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w:t>
                  </w:r>
                </w:p>
              </w:tc>
              <w:tc>
                <w:tcPr>
                  <w:tcW w:w="57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w:t>
                  </w:r>
                </w:p>
              </w:tc>
              <w:tc>
                <w:tcPr>
                  <w:tcW w:w="42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个</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2</w:t>
                  </w:r>
                </w:p>
              </w:tc>
              <w:tc>
                <w:tcPr>
                  <w:tcW w:w="8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与环评一致</w:t>
                  </w:r>
                </w:p>
              </w:tc>
            </w:tr>
          </w:tbl>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验收范围</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本次是对“扩建机动车维修拆解行业危险废物收集存储项目”环境保护整体验收。</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项目变更情况说明</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1、企业不再进行废弃铅蓄电池（900-044-49）的储存及转运；根据国家危险废物名录（2021年版）报废机动车拆解后收集的未引爆的安全气囊（HW15）不再作为危废管理，因此企业不再对其进行储存及转运。</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2、由上，企业危废收集、暂存方案发生变化，环评及批复中，企业共进行8类11种危险废物的暂存及转运，实际扩建项目完成后，全厂共对7类9种危险废物进行暂存及转运；环评及批复中扩建项目完成后全厂</w:t>
            </w:r>
            <w:r>
              <w:rPr>
                <w:rFonts w:hint="eastAsia" w:ascii="宋体" w:hAnsi="宋体" w:eastAsia="宋体" w:cs="宋体"/>
                <w:bCs/>
                <w:color w:val="auto"/>
                <w:sz w:val="24"/>
                <w:lang w:val="en-US" w:eastAsia="zh-CN"/>
              </w:rPr>
              <w:t>收集、储存及转运机动车维修拆解过程产生的各类危险废物40000吨/年，最大储存量为134吨，最长暂存时间为4天，实际建成收集、储存及转运机动车维修拆解过程产生的各类危险废物30500吨/年，最大储存量为96，</w:t>
            </w:r>
            <w:r>
              <w:rPr>
                <w:rFonts w:hint="eastAsia" w:ascii="宋体" w:hAnsi="宋体" w:eastAsia="宋体" w:cs="宋体"/>
                <w:b w:val="0"/>
                <w:bCs w:val="0"/>
                <w:color w:val="auto"/>
                <w:kern w:val="2"/>
                <w:sz w:val="24"/>
                <w:szCs w:val="24"/>
                <w:lang w:val="en-US" w:eastAsia="zh-CN" w:bidi="ar-SA"/>
              </w:rPr>
              <w:t>最长暂存时间为4天，储存及转运能力较环评及批复减少，不会增加污染物排放种类及排放量，不属于重大变动。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3、由于不再进行废弃铅蓄电池（900-044-49）的储存及转运，因此废气硫酸雾，固体废物中碱洗塔产生的碱液、废电解液，废铅酸蓄电池破损引发的风险事故均不再产生，其配套的环保设施均不再建设，全厂污染物种类减少，不属于重大变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4、由于不再进行废弃铅蓄电池（900-044-49）、报废机动车拆解后收集的未引爆的安全气囊（HW15）的储存及转运，危废暂存仓库内危废暂存区域发生变化，具体建成后平面布置见附图4，不属于重大变动。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5、企业响应环保要求安装两台挥发性有机物在线监测仪VOCs超标报警传感装置，并与环保部门联网。</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eastAsia="宋体"/>
                <w:sz w:val="24"/>
                <w:lang w:val="en-US" w:eastAsia="zh-CN"/>
              </w:rPr>
            </w:pPr>
            <w:r>
              <w:rPr>
                <w:rFonts w:hint="eastAsia" w:ascii="宋体" w:hAnsi="宋体" w:eastAsia="宋体" w:cs="宋体"/>
                <w:b w:val="0"/>
                <w:bCs w:val="0"/>
                <w:color w:val="auto"/>
                <w:kern w:val="2"/>
                <w:sz w:val="24"/>
                <w:szCs w:val="24"/>
                <w:lang w:val="en-US" w:eastAsia="zh-CN" w:bidi="ar-SA"/>
              </w:rPr>
              <w:t>其余建设内容与环评要求一致。</w:t>
            </w:r>
          </w:p>
        </w:tc>
      </w:tr>
    </w:tbl>
    <w:p>
      <w:pPr>
        <w:pStyle w:val="18"/>
        <w:rPr>
          <w:rFonts w:hint="eastAsia"/>
          <w:lang w:eastAsia="zh-CN"/>
        </w:rPr>
        <w:sectPr>
          <w:footerReference r:id="rId9" w:type="default"/>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spacing w:after="0" w:line="360" w:lineRule="auto"/>
        <w:rPr>
          <w:rFonts w:ascii="Times New Roman" w:cs="Times New Roman" w:hAnsiTheme="minorEastAsia" w:eastAsiaTheme="minorEastAsia"/>
          <w:b/>
          <w:color w:val="000000"/>
          <w:sz w:val="28"/>
          <w:szCs w:val="28"/>
        </w:rPr>
      </w:pPr>
      <w:r>
        <w:rPr>
          <w:rFonts w:hint="eastAsia" w:ascii="Times New Roman" w:cs="Times New Roman" w:hAnsiTheme="minorEastAsia" w:eastAsiaTheme="minorEastAsia"/>
          <w:b/>
          <w:color w:val="000000"/>
          <w:sz w:val="28"/>
          <w:szCs w:val="28"/>
          <w:lang w:eastAsia="zh-CN"/>
        </w:rPr>
        <w:t>续</w:t>
      </w:r>
      <w:r>
        <w:rPr>
          <w:rFonts w:ascii="Times New Roman" w:cs="Times New Roman" w:hAnsiTheme="minorEastAsia" w:eastAsiaTheme="minorEastAsia"/>
          <w:b/>
          <w:color w:val="000000"/>
          <w:sz w:val="28"/>
          <w:szCs w:val="28"/>
        </w:rPr>
        <w:t>表二</w:t>
      </w:r>
    </w:p>
    <w:tbl>
      <w:tblPr>
        <w:tblStyle w:val="19"/>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8" w:hRule="atLeast"/>
          <w:jc w:val="center"/>
        </w:trPr>
        <w:tc>
          <w:tcPr>
            <w:tcW w:w="9698"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原材料消耗及水平衡：</w:t>
            </w:r>
          </w:p>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auto"/>
                <w:sz w:val="24"/>
                <w:szCs w:val="24"/>
                <w:lang w:eastAsia="zh-CN"/>
              </w:rPr>
              <w:t>表</w:t>
            </w:r>
            <w:r>
              <w:rPr>
                <w:rFonts w:hint="eastAsia" w:ascii="宋体" w:hAnsi="宋体" w:eastAsia="宋体" w:cs="宋体"/>
                <w:b/>
                <w:bCs/>
                <w:color w:val="auto"/>
                <w:sz w:val="24"/>
                <w:szCs w:val="24"/>
                <w:lang w:val="en-US" w:eastAsia="zh-CN"/>
              </w:rPr>
              <w:t xml:space="preserve">6  </w:t>
            </w:r>
            <w:r>
              <w:rPr>
                <w:rFonts w:hint="eastAsia" w:ascii="宋体" w:hAnsi="宋体" w:eastAsia="宋体" w:cs="宋体"/>
                <w:b/>
                <w:bCs/>
                <w:color w:val="auto"/>
                <w:sz w:val="24"/>
                <w:szCs w:val="24"/>
                <w:lang w:eastAsia="zh-CN"/>
              </w:rPr>
              <w:t>项目原辅材料消耗一览表</w:t>
            </w:r>
          </w:p>
          <w:tbl>
            <w:tblPr>
              <w:tblStyle w:val="20"/>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73"/>
              <w:gridCol w:w="2044"/>
              <w:gridCol w:w="1214"/>
              <w:gridCol w:w="1352"/>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序号</w:t>
                  </w:r>
                </w:p>
              </w:tc>
              <w:tc>
                <w:tcPr>
                  <w:tcW w:w="143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原辅材料</w:t>
                  </w: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eastAsia="zh-CN"/>
                    </w:rPr>
                    <w:t>收贮</w:t>
                  </w:r>
                  <w:r>
                    <w:rPr>
                      <w:rFonts w:hint="eastAsia" w:ascii="宋体" w:hAnsi="宋体" w:eastAsia="宋体" w:cs="宋体"/>
                      <w:b/>
                      <w:bCs/>
                      <w:color w:val="auto"/>
                      <w:sz w:val="21"/>
                      <w:szCs w:val="21"/>
                      <w:vertAlign w:val="baseline"/>
                      <w:lang w:val="en-US" w:eastAsia="zh-CN"/>
                    </w:rPr>
                    <w:t>能力</w:t>
                  </w:r>
                </w:p>
              </w:tc>
              <w:tc>
                <w:tcPr>
                  <w:tcW w:w="71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实际收</w:t>
                  </w:r>
                  <w:r>
                    <w:rPr>
                      <w:rFonts w:hint="eastAsia" w:ascii="宋体" w:hAnsi="宋体" w:eastAsia="宋体" w:cs="宋体"/>
                      <w:b/>
                      <w:bCs/>
                      <w:color w:val="auto"/>
                      <w:sz w:val="21"/>
                      <w:szCs w:val="21"/>
                      <w:vertAlign w:val="baseline"/>
                      <w:lang w:val="en-US" w:eastAsia="zh-CN"/>
                    </w:rPr>
                    <w:t>能力</w:t>
                  </w:r>
                </w:p>
              </w:tc>
              <w:tc>
                <w:tcPr>
                  <w:tcW w:w="183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35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原辅材料</w:t>
                  </w: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HW08废矿物油与含矿物油废物</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7000t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7000t</w:t>
                  </w:r>
                  <w:r>
                    <w:rPr>
                      <w:rFonts w:hint="eastAsia" w:ascii="Times New Roman" w:hAnsi="Times New Roman" w:eastAsia="宋体" w:cs="Times New Roman"/>
                      <w:color w:val="000000"/>
                      <w:sz w:val="21"/>
                      <w:szCs w:val="21"/>
                      <w:lang w:val="en-US" w:eastAsia="zh-CN"/>
                    </w:rPr>
                    <w:t>/a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HW10多氯（溴）联苯类废物</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1000t</w:t>
                  </w:r>
                  <w:r>
                    <w:rPr>
                      <w:rFonts w:hint="eastAsia" w:ascii="Times New Roman" w:hAnsi="Times New Roman" w:eastAsia="宋体" w:cs="Times New Roman"/>
                      <w:color w:val="000000"/>
                      <w:sz w:val="21"/>
                      <w:szCs w:val="21"/>
                      <w:lang w:val="en-US" w:eastAsia="zh-CN"/>
                    </w:rPr>
                    <w:t>/a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HW12染料、涂料废物</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2000</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HW15爆炸性废物</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根据国家危险废物名录（2021年版）报废机动车拆解后收集的未引爆的安全气囊不再作为危废管理</w:t>
                  </w: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HW29含汞废物</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500t</w:t>
                  </w:r>
                  <w:r>
                    <w:rPr>
                      <w:rFonts w:hint="eastAsia" w:ascii="Times New Roman" w:hAnsi="Times New Roman" w:eastAsia="宋体" w:cs="Times New Roman"/>
                      <w:color w:val="000000"/>
                      <w:sz w:val="21"/>
                      <w:szCs w:val="21"/>
                      <w:lang w:val="en-US" w:eastAsia="zh-CN"/>
                    </w:rPr>
                    <w:t>/a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zh-TW" w:eastAsia="zh-CN"/>
                    </w:rPr>
                  </w:pPr>
                  <w:r>
                    <w:rPr>
                      <w:rFonts w:hint="default" w:ascii="Times New Roman" w:hAnsi="Times New Roman" w:eastAsia="宋体" w:cs="Times New Roman"/>
                      <w:color w:val="000000"/>
                      <w:sz w:val="21"/>
                      <w:szCs w:val="21"/>
                      <w:lang w:val="en-US" w:eastAsia="zh-CN"/>
                    </w:rPr>
                    <w:t>HW36石棉废物</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1000t</w:t>
                  </w:r>
                  <w:r>
                    <w:rPr>
                      <w:rFonts w:hint="eastAsia" w:ascii="Times New Roman" w:hAnsi="Times New Roman" w:eastAsia="宋体" w:cs="Times New Roman"/>
                      <w:color w:val="000000"/>
                      <w:sz w:val="21"/>
                      <w:szCs w:val="21"/>
                      <w:lang w:val="en-US" w:eastAsia="zh-CN"/>
                    </w:rPr>
                    <w:t>/a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w:t>
                  </w: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HW49其他废物</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27000t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18000</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企业不再进行</w:t>
                  </w:r>
                  <w:r>
                    <w:rPr>
                      <w:rFonts w:hint="default" w:ascii="Times New Roman" w:hAnsi="Times New Roman" w:eastAsia="宋体" w:cs="Times New Roman"/>
                      <w:color w:val="000000"/>
                      <w:sz w:val="21"/>
                      <w:szCs w:val="21"/>
                      <w:lang w:val="en-US" w:eastAsia="zh-CN"/>
                    </w:rPr>
                    <w:t>HW49</w:t>
                  </w:r>
                  <w:r>
                    <w:rPr>
                      <w:rFonts w:hint="eastAsia" w:ascii="Times New Roman" w:hAnsi="Times New Roman" w:eastAsia="宋体" w:cs="Times New Roman"/>
                      <w:color w:val="000000"/>
                      <w:sz w:val="21"/>
                      <w:szCs w:val="21"/>
                      <w:lang w:val="en-US" w:eastAsia="zh-CN"/>
                    </w:rPr>
                    <w:t>中900-044-49废弃的铅蓄电池的暂存与储运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w:t>
                  </w:r>
                </w:p>
              </w:tc>
              <w:tc>
                <w:tcPr>
                  <w:tcW w:w="3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HW50废催化剂</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1000t</w:t>
                  </w:r>
                  <w:r>
                    <w:rPr>
                      <w:rFonts w:hint="eastAsia" w:ascii="Times New Roman" w:hAnsi="Times New Roman" w:eastAsia="宋体" w:cs="Times New Roman"/>
                      <w:color w:val="000000"/>
                      <w:sz w:val="21"/>
                      <w:szCs w:val="21"/>
                      <w:lang w:val="en-US" w:eastAsia="zh-CN"/>
                    </w:rPr>
                    <w:t>/a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1000t</w:t>
                  </w:r>
                  <w:r>
                    <w:rPr>
                      <w:rFonts w:hint="eastAsia" w:ascii="Times New Roman" w:hAnsi="Times New Roman" w:eastAsia="宋体" w:cs="Times New Roman"/>
                      <w:color w:val="000000"/>
                      <w:sz w:val="21"/>
                      <w:szCs w:val="21"/>
                      <w:lang w:val="en-US" w:eastAsia="zh-CN"/>
                    </w:rPr>
                    <w:t>/a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8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w:t>
                  </w:r>
                </w:p>
              </w:tc>
              <w:tc>
                <w:tcPr>
                  <w:tcW w:w="35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能源</w:t>
                  </w:r>
                </w:p>
              </w:tc>
              <w:tc>
                <w:tcPr>
                  <w:tcW w:w="107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电</w:t>
                  </w:r>
                </w:p>
              </w:tc>
              <w:tc>
                <w:tcPr>
                  <w:tcW w:w="64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 万 kWh/a</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 万 kWh/a</w:t>
                  </w:r>
                </w:p>
              </w:tc>
              <w:tc>
                <w:tcPr>
                  <w:tcW w:w="183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bl>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本项目危废暂存间不进行清洗，无生产废水产生。扩建项目调用现有工作人员，不新增劳动定员，无生活废水增加。扩建后全厂给排水情况不发生变化。全厂水量平衡图见下图</w:t>
            </w:r>
          </w:p>
          <w:p>
            <w:pPr>
              <w:keepNext w:val="0"/>
              <w:keepLines w:val="0"/>
              <w:pageBreakBefore w:val="0"/>
              <w:kinsoku/>
              <w:wordWrap/>
              <w:overflowPunct/>
              <w:topLinePunct w:val="0"/>
              <w:autoSpaceDE/>
              <w:autoSpaceDN/>
              <w:bidi w:val="0"/>
              <w:adjustRightInd w:val="0"/>
              <w:snapToGrid w:val="0"/>
              <w:ind w:left="0" w:firstLine="0" w:firstLineChars="0"/>
              <w:jc w:val="center"/>
              <w:rPr>
                <w:rFonts w:hint="eastAsia" w:ascii="宋体" w:hAnsi="宋体" w:eastAsia="宋体" w:cs="宋体"/>
                <w:color w:val="auto"/>
                <w:sz w:val="24"/>
                <w:szCs w:val="24"/>
                <w:lang w:eastAsia="zh-CN"/>
              </w:rPr>
            </w:pPr>
            <w:r>
              <w:rPr>
                <w:sz w:val="24"/>
              </w:rPr>
              <mc:AlternateContent>
                <mc:Choice Requires="wpg">
                  <w:drawing>
                    <wp:anchor distT="0" distB="0" distL="114300" distR="114300" simplePos="0" relativeHeight="251675648" behindDoc="0" locked="0" layoutInCell="1" allowOverlap="1">
                      <wp:simplePos x="0" y="0"/>
                      <wp:positionH relativeFrom="column">
                        <wp:posOffset>-318770</wp:posOffset>
                      </wp:positionH>
                      <wp:positionV relativeFrom="paragraph">
                        <wp:posOffset>-33696910</wp:posOffset>
                      </wp:positionV>
                      <wp:extent cx="6191250" cy="35336480"/>
                      <wp:effectExtent l="3810" t="0" r="0" b="5080"/>
                      <wp:wrapNone/>
                      <wp:docPr id="9" name="组合 9"/>
                      <wp:cNvGraphicFramePr/>
                      <a:graphic xmlns:a="http://schemas.openxmlformats.org/drawingml/2006/main">
                        <a:graphicData uri="http://schemas.microsoft.com/office/word/2010/wordprocessingGroup">
                          <wpg:wgp>
                            <wpg:cNvGrpSpPr/>
                            <wpg:grpSpPr>
                              <a:xfrm>
                                <a:off x="0" y="0"/>
                                <a:ext cx="6191250" cy="35336480"/>
                                <a:chOff x="1214" y="134009"/>
                                <a:chExt cx="9750" cy="55648"/>
                              </a:xfrm>
                            </wpg:grpSpPr>
                            <wps:wsp>
                              <wps:cNvPr id="111" name="文本框 10"/>
                              <wps:cNvSpPr txBox="1"/>
                              <wps:spPr>
                                <a:xfrm>
                                  <a:off x="4435" y="187905"/>
                                  <a:ext cx="1284"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职工盥洗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2"/>
                              <wps:cNvSpPr txBox="1"/>
                              <wps:spPr>
                                <a:xfrm>
                                  <a:off x="4435" y="189189"/>
                                  <a:ext cx="1284"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职工盥洗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直接箭头连接符 13"/>
                              <wps:cNvCnPr>
                                <a:stCxn id="10" idx="3"/>
                              </wps:cNvCnPr>
                              <wps:spPr>
                                <a:xfrm flipV="1">
                                  <a:off x="5719" y="188133"/>
                                  <a:ext cx="972" cy="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4" name="文本框 15"/>
                              <wps:cNvSpPr txBox="1"/>
                              <wps:spPr>
                                <a:xfrm>
                                  <a:off x="6691" y="187893"/>
                                  <a:ext cx="1284"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防渗旱厕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直接箭头连接符 16"/>
                              <wps:cNvCnPr/>
                              <wps:spPr>
                                <a:xfrm flipV="1">
                                  <a:off x="3451" y="188133"/>
                                  <a:ext cx="972" cy="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6" name="直接箭头连接符 17"/>
                              <wps:cNvCnPr/>
                              <wps:spPr>
                                <a:xfrm flipV="1">
                                  <a:off x="3451" y="189441"/>
                                  <a:ext cx="972" cy="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7" name="直接箭头连接符 19"/>
                              <wps:cNvCnPr/>
                              <wps:spPr>
                                <a:xfrm flipV="1">
                                  <a:off x="7987" y="188133"/>
                                  <a:ext cx="972" cy="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18" name="文本框 18"/>
                              <wps:cNvSpPr txBox="1"/>
                              <wps:spPr>
                                <a:xfrm>
                                  <a:off x="8959" y="187893"/>
                                  <a:ext cx="2005"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定期清掏作农肥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直接连接符 20"/>
                              <wps:cNvCnPr/>
                              <wps:spPr>
                                <a:xfrm>
                                  <a:off x="3456" y="188145"/>
                                  <a:ext cx="0" cy="1304"/>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0" name="文本框 21"/>
                              <wps:cNvSpPr txBox="1"/>
                              <wps:spPr>
                                <a:xfrm>
                                  <a:off x="1963" y="188397"/>
                                  <a:ext cx="1106"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备水井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直接箭头连接符 57"/>
                              <wps:cNvCnPr/>
                              <wps:spPr>
                                <a:xfrm flipV="1">
                                  <a:off x="2875" y="188625"/>
                                  <a:ext cx="575" cy="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2" name="文本框 62"/>
                              <wps:cNvSpPr txBox="1"/>
                              <wps:spPr>
                                <a:xfrm>
                                  <a:off x="3559" y="187773"/>
                                  <a:ext cx="735"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文本框 64"/>
                              <wps:cNvSpPr txBox="1"/>
                              <wps:spPr>
                                <a:xfrm>
                                  <a:off x="2743" y="188253"/>
                                  <a:ext cx="735"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65"/>
                              <wps:cNvSpPr txBox="1"/>
                              <wps:spPr>
                                <a:xfrm>
                                  <a:off x="3535" y="189033"/>
                                  <a:ext cx="735"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66"/>
                              <wps:cNvSpPr txBox="1"/>
                              <wps:spPr>
                                <a:xfrm>
                                  <a:off x="5803" y="187725"/>
                                  <a:ext cx="806"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67"/>
                              <wps:cNvSpPr txBox="1"/>
                              <wps:spPr>
                                <a:xfrm>
                                  <a:off x="8071" y="187737"/>
                                  <a:ext cx="830"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直接箭头连接符 68"/>
                              <wps:cNvCnPr>
                                <a:stCxn id="10" idx="0"/>
                                <a:endCxn id="69" idx="1"/>
                              </wps:cNvCnPr>
                              <wps:spPr>
                                <a:xfrm flipV="1">
                                  <a:off x="5077" y="187455"/>
                                  <a:ext cx="606" cy="45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28" name="文本框 69"/>
                              <wps:cNvSpPr txBox="1"/>
                              <wps:spPr>
                                <a:xfrm>
                                  <a:off x="5683" y="187221"/>
                                  <a:ext cx="1429"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损耗0.06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71"/>
                              <wps:cNvCnPr>
                                <a:endCxn id="70" idx="1"/>
                              </wps:cNvCnPr>
                              <wps:spPr>
                                <a:xfrm flipV="1">
                                  <a:off x="1214" y="134009"/>
                                  <a:ext cx="474" cy="342"/>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0" name="文本框 70"/>
                              <wps:cNvSpPr txBox="1"/>
                              <wps:spPr>
                                <a:xfrm>
                                  <a:off x="5656" y="188583"/>
                                  <a:ext cx="1227" cy="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损耗0.5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1pt;margin-top:-2653.3pt;height:2782.4pt;width:487.5pt;z-index:251675648;mso-width-relative:page;mso-height-relative:page;" coordorigin="1214,134009" coordsize="9750,55648" o:gfxdata="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AAAAAZHJzL1BLAQIUABQAAAAIAIdO4kAUAyH73AAA&#10;AA0BAAAPAAAAAAAAAAEAIAAAACIAAABkcnMvZG93bnJldi54bWxQSwECFAAUAAAACACHTuJAjx3J&#10;tFUGAADnMgAADgAAAAAAAAABACAAAAArAQAAZHJzL2Uyb0RvYy54bWxQSwUGAAAAAAYABgBZAQAA&#10;8gkAAAAA&#10;">
                      <o:lock v:ext="edit" aspectratio="f"/>
                      <v:shape id="文本框 10" o:spid="_x0000_s1026" o:spt="202" type="#_x0000_t202" style="position:absolute;left:4435;top:187905;height:468;width:1284;" fillcolor="#FFFFFF [3201]" filled="t" stroked="t" coordsize="21600,21600" o:gfxdata="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jElc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职工盥洗</w:t>
                              </w:r>
                            </w:p>
                          </w:txbxContent>
                        </v:textbox>
                      </v:shape>
                      <v:shape id="文本框 12" o:spid="_x0000_s1026" o:spt="202" type="#_x0000_t202" style="position:absolute;left:4435;top:189189;height:468;width:1284;" fillcolor="#FFFFFF [3201]" filled="t" stroked="t" coordsize="21600,21600" o:gfxdata="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uO7B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职工盥洗</w:t>
                              </w:r>
                            </w:p>
                          </w:txbxContent>
                        </v:textbox>
                      </v:shape>
                      <v:shape id="直接箭头连接符 13" o:spid="_x0000_s1026" o:spt="32" type="#_x0000_t32" style="position:absolute;left:5719;top:188133;flip:y;height:6;width:972;" filled="f" stroked="t" coordsize="21600,21600" o:gfxdata="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5L1b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文本框 15" o:spid="_x0000_s1026" o:spt="202" type="#_x0000_t202" style="position:absolute;left:6691;top:187893;height:468;width:1284;" fillcolor="#FFFFFF [3201]" filled="t" stroked="t" coordsize="21600,21600" o:gfxdata="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kaG6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防渗旱厕</w:t>
                              </w:r>
                            </w:p>
                          </w:txbxContent>
                        </v:textbox>
                      </v:shape>
                      <v:shape id="直接箭头连接符 16" o:spid="_x0000_s1026" o:spt="32" type="#_x0000_t32" style="position:absolute;left:3451;top:188133;flip:y;height:6;width:972;" filled="f" stroked="t" coordsize="21600,21600" o:gfxdata="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t2Or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直接箭头连接符 17" o:spid="_x0000_s1026" o:spt="32" type="#_x0000_t32" style="position:absolute;left:3451;top:189441;flip:y;height:6;width:972;" filled="f" stroked="t" coordsize="21600,21600" o:gfxdata="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ehNvQAA&#10;ANwAAAAPAAAAAAAAAAEAIAAAACIAAABkcnMvZG93bnJldi54bWxQSwECFAAUAAAACACHTuJAMy8F&#10;njsAAAA5AAAAEAAAAAAAAAABACAAAAAMAQAAZHJzL3NoYXBleG1sLnhtbFBLBQYAAAAABgAGAFsB&#10;AAC2AwAAAAA=&#10;">
                        <v:fill on="f" focussize="0,0"/>
                        <v:stroke weight="1pt" color="#000000 [3213]" joinstyle="round" endarrow="block"/>
                        <v:imagedata o:title=""/>
                        <o:lock v:ext="edit" aspectratio="f"/>
                      </v:shape>
                      <v:shape id="直接箭头连接符 19" o:spid="_x0000_s1026" o:spt="32" type="#_x0000_t32" style="position:absolute;left:7987;top:188133;flip:y;height:6;width:972;" filled="f" stroked="t" coordsize="21600,21600" o:gfxdata="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VN1r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文本框 18" o:spid="_x0000_s1026" o:spt="202" type="#_x0000_t202" style="position:absolute;left:8959;top:187893;height:468;width:2005;" filled="f" stroked="f" coordsize="21600,21600" o:gfxdata="UEsDBAoAAAAAAIdO4kAAAAAAAAAAAAAAAAAEAAAAZHJzL1BLAwQUAAAACACHTuJA1GWXVc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O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Zd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定期清掏作农肥</w:t>
                              </w:r>
                            </w:p>
                          </w:txbxContent>
                        </v:textbox>
                      </v:shape>
                      <v:line id="直接连接符 20" o:spid="_x0000_s1026" o:spt="20" style="position:absolute;left:3456;top:188145;height:1304;width:0;" filled="f" stroked="t" coordsize="21600,21600" o:gfxdata="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A1L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shape id="文本框 21" o:spid="_x0000_s1026" o:spt="202" type="#_x0000_t202" style="position:absolute;left:1963;top:188397;height:468;width:1106;"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备水井</w:t>
                              </w:r>
                            </w:p>
                          </w:txbxContent>
                        </v:textbox>
                      </v:shape>
                      <v:shape id="直接箭头连接符 57" o:spid="_x0000_s1026" o:spt="32" type="#_x0000_t32" style="position:absolute;left:2875;top:188625;flip:y;height:6;width:575;" filled="f" stroked="t" coordsize="21600,21600" o:gfxdata="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y6hL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shape>
                      <v:shape id="文本框 62" o:spid="_x0000_s1026" o:spt="202" type="#_x0000_t202" style="position:absolute;left:3559;top:187773;height:468;width:735;"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0.4</w:t>
                              </w:r>
                            </w:p>
                          </w:txbxContent>
                        </v:textbox>
                      </v:shape>
                      <v:shape id="文本框 64" o:spid="_x0000_s1026" o:spt="202" type="#_x0000_t202" style="position:absolute;left:2743;top:188253;height:468;width:735;"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0.9</w:t>
                              </w:r>
                            </w:p>
                          </w:txbxContent>
                        </v:textbox>
                      </v:shape>
                      <v:shape id="文本框 65" o:spid="_x0000_s1026" o:spt="202" type="#_x0000_t202" style="position:absolute;left:3535;top:189033;height:468;width:735;" filled="f" stroked="f" coordsize="21600,21600" o:gfxdata="UEsDBAoAAAAAAIdO4kAAAAAAAAAAAAAAAAAEAAAAZHJzL1BLAwQUAAAACACHTuJAm0RX7bwAAADc&#10;AAAADwAAAGRycy9kb3ducmV2LnhtbEVPS4vCMBC+C/6HMII3TS3u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EV+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0.5</w:t>
                              </w:r>
                            </w:p>
                          </w:txbxContent>
                        </v:textbox>
                      </v:shape>
                      <v:shape id="文本框 66" o:spid="_x0000_s1026" o:spt="202" type="#_x0000_t202" style="position:absolute;left:5803;top:187725;height:468;width:806;" filled="f" stroked="f" coordsize="21600,21600" o:gfxdata="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PJ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0.34</w:t>
                              </w:r>
                            </w:p>
                          </w:txbxContent>
                        </v:textbox>
                      </v:shape>
                      <v:shape id="文本框 67" o:spid="_x0000_s1026" o:spt="202" type="#_x0000_t202" style="position:absolute;left:8071;top:187737;height:468;width:830;"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0.34</w:t>
                              </w:r>
                            </w:p>
                          </w:txbxContent>
                        </v:textbox>
                      </v:shape>
                      <v:shape id="直接箭头连接符 68" o:spid="_x0000_s1026" o:spt="32" type="#_x0000_t32" style="position:absolute;left:5077;top:187455;flip:y;height:450;width:606;" filled="f" stroked="t" coordsize="21600,21600" o:gfxdata="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xg&#10;X8EAAADcAAAADwAAAAAAAAABACAAAAAiAAAAZHJzL2Rvd25yZXYueG1sUEsBAhQAFAAAAAgAh07i&#10;QDMvBZ47AAAAOQAAABAAAAAAAAAAAQAgAAAAEAEAAGRycy9zaGFwZXhtbC54bWxQSwUGAAAAAAYA&#10;BgBbAQAAugMAAAAA&#10;">
                        <v:fill on="f" focussize="0,0"/>
                        <v:stroke weight="1pt" color="#000000 [3213]" joinstyle="round" dashstyle="dash" endarrow="block"/>
                        <v:imagedata o:title=""/>
                        <o:lock v:ext="edit" aspectratio="f"/>
                      </v:shape>
                      <v:shape id="文本框 69" o:spid="_x0000_s1026" o:spt="202" type="#_x0000_t202" style="position:absolute;left:5683;top:187221;height:468;width:1429;" filled="f" stroked="f" coordsize="21600,21600" o:gfxdata="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V3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损耗0.06</w:t>
                              </w:r>
                            </w:p>
                          </w:txbxContent>
                        </v:textbox>
                      </v:shape>
                      <v:shape id="直接箭头连接符 71" o:spid="_x0000_s1026" o:spt="32" type="#_x0000_t32" style="position:absolute;left:1214;top:134009;flip:y;height:342;width:474;" filled="f" stroked="t" coordsize="21600,21600" o:gfxdata="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9R&#10;tsEAAADcAAAADwAAAAAAAAABACAAAAAiAAAAZHJzL2Rvd25yZXYueG1sUEsBAhQAFAAAAAgAh07i&#10;QDMvBZ47AAAAOQAAABAAAAAAAAAAAQAgAAAAEAEAAGRycy9zaGFwZXhtbC54bWxQSwUGAAAAAAYA&#10;BgBbAQAAugMAAAAA&#10;">
                        <v:fill on="f" focussize="0,0"/>
                        <v:stroke weight="1pt" color="#000000 [3213]" joinstyle="round" dashstyle="dash" endarrow="block"/>
                        <v:imagedata o:title=""/>
                        <o:lock v:ext="edit" aspectratio="f"/>
                      </v:shape>
                      <v:shape id="文本框 70" o:spid="_x0000_s1026" o:spt="202" type="#_x0000_t202" style="position:absolute;left:5656;top:188583;height:468;width:1227;"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损耗0.5</w:t>
                              </w:r>
                            </w:p>
                          </w:txbxContent>
                        </v:textbox>
                      </v:shape>
                    </v:group>
                  </w:pict>
                </mc:Fallback>
              </mc:AlternateContent>
            </w:r>
          </w:p>
          <w:p>
            <w:pPr>
              <w:pStyle w:val="24"/>
              <w:rPr>
                <w:rFonts w:hint="eastAsia" w:ascii="宋体" w:hAnsi="宋体" w:eastAsia="宋体" w:cs="宋体"/>
                <w:color w:val="auto"/>
                <w:sz w:val="24"/>
                <w:szCs w:val="24"/>
                <w:lang w:eastAsia="zh-CN"/>
              </w:rPr>
            </w:pPr>
          </w:p>
          <w:p>
            <w:pPr>
              <w:pStyle w:val="24"/>
              <w:rPr>
                <w:rFonts w:hint="eastAsia" w:ascii="宋体" w:hAnsi="宋体" w:eastAsia="宋体" w:cs="宋体"/>
                <w:color w:val="auto"/>
                <w:sz w:val="24"/>
                <w:szCs w:val="24"/>
                <w:lang w:eastAsia="zh-CN"/>
              </w:rPr>
            </w:pPr>
          </w:p>
          <w:p>
            <w:pPr>
              <w:pStyle w:val="24"/>
              <w:rPr>
                <w:rFonts w:hint="eastAsia" w:ascii="宋体" w:hAnsi="宋体" w:eastAsia="宋体" w:cs="宋体"/>
                <w:color w:val="auto"/>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b/>
                <w:bCs/>
                <w:color w:val="000000"/>
                <w:sz w:val="24"/>
                <w:szCs w:val="24"/>
                <w:lang w:eastAsia="zh-CN"/>
              </w:rPr>
            </w:pPr>
          </w:p>
          <w:p>
            <w:pPr>
              <w:pStyle w:val="24"/>
              <w:rPr>
                <w:rFonts w:hint="eastAsia"/>
                <w:lang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eastAsia="宋体"/>
                <w:sz w:val="24"/>
                <w:lang w:val="en-US" w:eastAsia="zh-CN"/>
              </w:rPr>
            </w:pPr>
            <w:r>
              <w:rPr>
                <w:rFonts w:hint="eastAsia" w:ascii="宋体" w:hAnsi="宋体" w:eastAsia="宋体"/>
                <w:b/>
                <w:bCs/>
                <w:color w:val="000000"/>
                <w:sz w:val="24"/>
                <w:szCs w:val="24"/>
                <w:lang w:eastAsia="zh-CN"/>
              </w:rPr>
              <w:t>图</w:t>
            </w:r>
            <w:r>
              <w:rPr>
                <w:rFonts w:hint="eastAsia" w:ascii="宋体" w:hAnsi="宋体" w:eastAsia="宋体"/>
                <w:b/>
                <w:bCs/>
                <w:color w:val="000000"/>
                <w:sz w:val="24"/>
                <w:szCs w:val="24"/>
                <w:lang w:val="en-US" w:eastAsia="zh-CN"/>
              </w:rPr>
              <w:t xml:space="preserve">2  </w:t>
            </w:r>
            <w:r>
              <w:rPr>
                <w:rFonts w:hint="eastAsia" w:ascii="宋体" w:hAnsi="宋体" w:eastAsia="宋体"/>
                <w:b/>
                <w:bCs/>
                <w:color w:val="000000"/>
                <w:sz w:val="24"/>
                <w:szCs w:val="24"/>
                <w:lang w:eastAsia="zh-CN"/>
              </w:rPr>
              <w:t>水量平衡图，单位</w:t>
            </w:r>
            <w:r>
              <w:rPr>
                <w:rFonts w:hint="eastAsia" w:ascii="宋体" w:hAnsi="宋体" w:eastAsia="宋体"/>
                <w:b/>
                <w:bCs/>
                <w:color w:val="000000"/>
                <w:sz w:val="24"/>
                <w:szCs w:val="24"/>
                <w:lang w:val="en-US" w:eastAsia="zh-CN"/>
              </w:rPr>
              <w:t>m³/d</w:t>
            </w:r>
          </w:p>
        </w:tc>
      </w:tr>
    </w:tbl>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cs="Times New Roman" w:hAnsiTheme="minorEastAsia" w:eastAsiaTheme="minorEastAsia"/>
          <w:b/>
          <w:color w:val="000000"/>
          <w:sz w:val="28"/>
          <w:szCs w:val="28"/>
          <w:lang w:eastAsia="zh-CN"/>
        </w:rPr>
        <w:sectPr>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ascii="Times New Roman" w:cs="Times New Roman" w:hAnsiTheme="minorEastAsia" w:eastAsiaTheme="minorEastAsia"/>
          <w:b/>
          <w:color w:val="000000"/>
          <w:sz w:val="28"/>
          <w:szCs w:val="28"/>
        </w:rPr>
      </w:pPr>
      <w:r>
        <w:rPr>
          <w:rFonts w:hint="eastAsia" w:ascii="Times New Roman" w:cs="Times New Roman" w:hAnsiTheme="minorEastAsia" w:eastAsiaTheme="minorEastAsia"/>
          <w:b/>
          <w:color w:val="000000"/>
          <w:sz w:val="28"/>
          <w:szCs w:val="28"/>
          <w:lang w:eastAsia="zh-CN"/>
        </w:rPr>
        <w:t>续</w:t>
      </w:r>
      <w:r>
        <w:rPr>
          <w:rFonts w:ascii="Times New Roman" w:cs="Times New Roman" w:hAnsiTheme="minorEastAsia" w:eastAsiaTheme="minorEastAsia"/>
          <w:b/>
          <w:color w:val="000000"/>
          <w:sz w:val="28"/>
          <w:szCs w:val="28"/>
        </w:rPr>
        <w:t>表二</w:t>
      </w:r>
    </w:p>
    <w:tbl>
      <w:tblPr>
        <w:tblStyle w:val="19"/>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8" w:hRule="atLeast"/>
          <w:jc w:val="center"/>
        </w:trPr>
        <w:tc>
          <w:tcPr>
            <w:tcW w:w="9698" w:type="dxa"/>
            <w:noWrap w:val="0"/>
            <w:vAlign w:val="top"/>
          </w:tcPr>
          <w:p>
            <w:pPr>
              <w:pStyle w:val="4"/>
              <w:keepNext w:val="0"/>
              <w:keepLines w:val="0"/>
              <w:pageBreakBefore w:val="0"/>
              <w:widowControl/>
              <w:numPr>
                <w:ilvl w:val="0"/>
                <w:numId w:val="2"/>
              </w:numPr>
              <w:kinsoku/>
              <w:wordWrap/>
              <w:overflowPunct/>
              <w:topLinePunct w:val="0"/>
              <w:autoSpaceDE/>
              <w:autoSpaceDN/>
              <w:bidi w:val="0"/>
              <w:adjustRightInd w:val="0"/>
              <w:snapToGrid w:val="0"/>
              <w:spacing w:before="0" w:after="0"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废矿物油工艺流程及产污环节如下图</w:t>
            </w:r>
          </w:p>
          <w:p>
            <w:pPr>
              <w:numPr>
                <w:ilvl w:val="0"/>
                <w:numId w:val="0"/>
              </w:numPr>
              <w:jc w:val="center"/>
              <w:rPr>
                <w:rFonts w:hint="eastAsia"/>
                <w:lang w:eastAsia="zh-CN"/>
              </w:rPr>
            </w:pPr>
            <w:r>
              <w:rPr>
                <w:rFonts w:hint="eastAsia"/>
                <w:lang w:eastAsia="zh-CN"/>
              </w:rPr>
              <w:drawing>
                <wp:inline distT="0" distB="0" distL="114300" distR="114300">
                  <wp:extent cx="5441315" cy="4106545"/>
                  <wp:effectExtent l="0" t="0" r="14605" b="8255"/>
                  <wp:docPr id="135" name="图片 135" descr="微信截图_202106171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微信截图_20210617164830"/>
                          <pic:cNvPicPr>
                            <a:picLocks noChangeAspect="1"/>
                          </pic:cNvPicPr>
                        </pic:nvPicPr>
                        <pic:blipFill>
                          <a:blip r:embed="rId34"/>
                          <a:srcRect b="3664"/>
                          <a:stretch>
                            <a:fillRect/>
                          </a:stretch>
                        </pic:blipFill>
                        <pic:spPr>
                          <a:xfrm>
                            <a:off x="0" y="0"/>
                            <a:ext cx="5441315" cy="41065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zh-TW" w:eastAsia="zh-CN"/>
              </w:rPr>
              <w:t>图</w:t>
            </w:r>
            <w:r>
              <w:rPr>
                <w:rFonts w:hint="eastAsia" w:ascii="宋体" w:hAnsi="宋体" w:eastAsia="宋体"/>
                <w:b/>
                <w:bCs/>
                <w:color w:val="000000"/>
                <w:sz w:val="24"/>
                <w:szCs w:val="24"/>
                <w:lang w:val="en-US" w:eastAsia="zh-CN"/>
              </w:rPr>
              <w:t>3  废矿物油工艺流程及产污环节分析</w:t>
            </w:r>
          </w:p>
          <w:p>
            <w:pPr>
              <w:pStyle w:val="4"/>
              <w:keepNext w:val="0"/>
              <w:keepLines w:val="0"/>
              <w:pageBreakBefore w:val="0"/>
              <w:widowControl/>
              <w:numPr>
                <w:ilvl w:val="0"/>
                <w:numId w:val="2"/>
              </w:numPr>
              <w:kinsoku/>
              <w:wordWrap/>
              <w:overflowPunct/>
              <w:topLinePunct w:val="0"/>
              <w:autoSpaceDE/>
              <w:autoSpaceDN/>
              <w:bidi w:val="0"/>
              <w:adjustRightInd w:val="0"/>
              <w:snapToGrid w:val="0"/>
              <w:spacing w:before="0" w:after="0" w:line="360" w:lineRule="auto"/>
              <w:ind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其他危险废物工艺流程及产污环节见下图</w:t>
            </w:r>
          </w:p>
          <w:p>
            <w:pPr>
              <w:jc w:val="center"/>
              <w:rPr>
                <w:rFonts w:hint="eastAsia"/>
                <w:lang w:val="en-US" w:eastAsia="zh-CN"/>
              </w:rPr>
            </w:pPr>
            <w:r>
              <w:rPr>
                <w:rFonts w:hint="eastAsia"/>
                <w:lang w:val="en-US" w:eastAsia="zh-CN"/>
              </w:rPr>
              <w:drawing>
                <wp:inline distT="0" distB="0" distL="114300" distR="114300">
                  <wp:extent cx="5622290" cy="824865"/>
                  <wp:effectExtent l="0" t="0" r="1270" b="13335"/>
                  <wp:docPr id="132" name="图片 13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图片1_副本"/>
                          <pic:cNvPicPr>
                            <a:picLocks noChangeAspect="1"/>
                          </pic:cNvPicPr>
                        </pic:nvPicPr>
                        <pic:blipFill>
                          <a:blip r:embed="rId35"/>
                          <a:stretch>
                            <a:fillRect/>
                          </a:stretch>
                        </pic:blipFill>
                        <pic:spPr>
                          <a:xfrm>
                            <a:off x="0" y="0"/>
                            <a:ext cx="5622290" cy="8248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zh-TW" w:eastAsia="zh-CN"/>
              </w:rPr>
              <w:t>图</w:t>
            </w:r>
            <w:r>
              <w:rPr>
                <w:rFonts w:hint="eastAsia" w:ascii="宋体" w:hAnsi="宋体" w:eastAsia="宋体"/>
                <w:b/>
                <w:bCs/>
                <w:color w:val="000000"/>
                <w:sz w:val="24"/>
                <w:szCs w:val="24"/>
                <w:lang w:val="en-US" w:eastAsia="zh-CN"/>
              </w:rPr>
              <w:t>4  危废库房工艺流程及产污环节图</w:t>
            </w:r>
          </w:p>
          <w:p>
            <w:pPr>
              <w:pStyle w:val="4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rPr>
                <w:rFonts w:hint="eastAsia" w:eastAsia="宋体"/>
                <w:b/>
                <w:bCs/>
                <w:sz w:val="24"/>
                <w:lang w:val="en-US" w:eastAsia="zh-CN"/>
              </w:rPr>
            </w:pPr>
            <w:r>
              <w:rPr>
                <w:rFonts w:hint="eastAsia" w:eastAsia="宋体"/>
                <w:b/>
                <w:bCs/>
                <w:sz w:val="24"/>
                <w:lang w:val="en-US" w:eastAsia="zh-CN"/>
              </w:rPr>
              <w:t>主要污染工序：</w:t>
            </w:r>
          </w:p>
          <w:p>
            <w:pPr>
              <w:pStyle w:val="49"/>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废气：本项目除 HW08 类废物外，其他类别废物均不拆包装，不倒罐。项目所产生的废气主要为 HW08 储罐大小呼吸废气和 HW12 类、HW49 类危废暂存产生的</w:t>
            </w:r>
            <w:r>
              <w:rPr>
                <w:rFonts w:hint="eastAsia" w:eastAsia="宋体" w:cs="宋体"/>
                <w:b w:val="0"/>
                <w:bCs w:val="0"/>
                <w:color w:val="000000"/>
                <w:kern w:val="2"/>
                <w:sz w:val="24"/>
                <w:szCs w:val="24"/>
                <w:lang w:val="en-US" w:eastAsia="zh-CN" w:bidi="ar-SA"/>
              </w:rPr>
              <w:t>有机</w:t>
            </w:r>
            <w:r>
              <w:rPr>
                <w:rFonts w:hint="eastAsia" w:ascii="宋体" w:hAnsi="宋体" w:eastAsia="宋体" w:cs="宋体"/>
                <w:b w:val="0"/>
                <w:bCs w:val="0"/>
                <w:color w:val="000000"/>
                <w:kern w:val="2"/>
                <w:sz w:val="24"/>
                <w:szCs w:val="24"/>
                <w:lang w:val="en-US" w:eastAsia="zh-CN" w:bidi="ar-SA"/>
              </w:rPr>
              <w:t>废气</w:t>
            </w:r>
            <w:r>
              <w:rPr>
                <w:rFonts w:hint="eastAsia" w:eastAsia="宋体" w:cs="宋体"/>
                <w:b w:val="0"/>
                <w:bCs w:val="0"/>
                <w:color w:val="000000"/>
                <w:kern w:val="2"/>
                <w:sz w:val="24"/>
                <w:szCs w:val="24"/>
                <w:lang w:val="en-US" w:eastAsia="zh-CN" w:bidi="ar-SA"/>
              </w:rPr>
              <w:t>；</w:t>
            </w:r>
          </w:p>
          <w:p>
            <w:pPr>
              <w:pStyle w:val="49"/>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b w:val="0"/>
                <w:bCs w:val="0"/>
                <w:color w:val="000000"/>
                <w:kern w:val="2"/>
                <w:sz w:val="24"/>
                <w:szCs w:val="24"/>
                <w:lang w:val="en-US" w:eastAsia="zh-CN" w:bidi="ar-SA"/>
              </w:rPr>
            </w:pPr>
            <w:r>
              <w:rPr>
                <w:rFonts w:hint="eastAsia" w:eastAsia="宋体" w:cs="宋体"/>
                <w:b w:val="0"/>
                <w:bCs w:val="0"/>
                <w:color w:val="000000"/>
                <w:kern w:val="2"/>
                <w:sz w:val="24"/>
                <w:szCs w:val="24"/>
                <w:lang w:val="en-US" w:eastAsia="zh-CN" w:bidi="ar-SA"/>
              </w:rPr>
              <w:t>废水：本项目无生产废水产生，未新增劳动定员，无新增生活废水产生；</w:t>
            </w:r>
          </w:p>
          <w:p>
            <w:pPr>
              <w:pStyle w:val="49"/>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噪声：项目主要噪声污染为风机、输油泵运行产生的机械噪声和空气动力性噪声</w:t>
            </w:r>
            <w:r>
              <w:rPr>
                <w:rFonts w:hint="eastAsia" w:eastAsia="宋体" w:cs="宋体"/>
                <w:b w:val="0"/>
                <w:bCs w:val="0"/>
                <w:color w:val="000000"/>
                <w:kern w:val="2"/>
                <w:sz w:val="24"/>
                <w:szCs w:val="24"/>
                <w:lang w:val="en-US" w:eastAsia="zh-CN" w:bidi="ar-SA"/>
              </w:rPr>
              <w:t>；</w:t>
            </w:r>
          </w:p>
          <w:p>
            <w:pPr>
              <w:pStyle w:val="49"/>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jc w:val="both"/>
              <w:textAlignment w:val="auto"/>
              <w:rPr>
                <w:rFonts w:hint="eastAsia"/>
                <w:lang w:val="en-US" w:eastAsia="zh-CN"/>
              </w:rPr>
            </w:pPr>
            <w:r>
              <w:rPr>
                <w:rFonts w:hint="eastAsia" w:ascii="宋体" w:hAnsi="宋体" w:eastAsia="宋体" w:cs="宋体"/>
                <w:b w:val="0"/>
                <w:bCs w:val="0"/>
                <w:color w:val="000000"/>
                <w:kern w:val="2"/>
                <w:sz w:val="24"/>
                <w:szCs w:val="24"/>
                <w:lang w:val="en-US" w:eastAsia="zh-CN" w:bidi="ar-SA"/>
              </w:rPr>
              <w:t>固体废物：本项目产生的固体废物主要为废活性炭、废抹布、废劳保用品、清罐油泥、废塑料箱</w:t>
            </w:r>
            <w:r>
              <w:rPr>
                <w:rFonts w:hint="eastAsia" w:eastAsia="宋体" w:cs="宋体"/>
                <w:b w:val="0"/>
                <w:bCs w:val="0"/>
                <w:color w:val="000000"/>
                <w:kern w:val="2"/>
                <w:sz w:val="24"/>
                <w:szCs w:val="24"/>
                <w:lang w:val="en-US" w:eastAsia="zh-CN" w:bidi="ar-SA"/>
              </w:rPr>
              <w:t>。</w:t>
            </w:r>
          </w:p>
        </w:tc>
      </w:tr>
    </w:tbl>
    <w:p>
      <w:pPr>
        <w:spacing w:line="360" w:lineRule="auto"/>
        <w:rPr>
          <w:rFonts w:ascii="Times New Roman" w:hAnsi="Times New Roman" w:cs="Times New Roman" w:eastAsiaTheme="minorEastAsia"/>
          <w:color w:val="000000"/>
          <w:sz w:val="21"/>
          <w:szCs w:val="21"/>
        </w:rPr>
        <w:sectPr>
          <w:pgSz w:w="11906" w:h="16838"/>
          <w:pgMar w:top="1440" w:right="1080" w:bottom="1440" w:left="1080" w:header="709" w:footer="709" w:gutter="0"/>
          <w:pgBorders>
            <w:top w:val="none" w:sz="0" w:space="0"/>
            <w:left w:val="none" w:sz="0" w:space="0"/>
            <w:bottom w:val="none" w:sz="0" w:space="0"/>
            <w:right w:val="none" w:sz="0" w:space="0"/>
          </w:pgBorders>
          <w:pgNumType w:fmt="decimal" w:chapStyle="1"/>
          <w:cols w:space="720" w:num="1"/>
          <w:docGrid w:linePitch="360" w:charSpace="0"/>
        </w:sectPr>
      </w:pPr>
    </w:p>
    <w:p>
      <w:pPr>
        <w:rPr>
          <w:rFonts w:hint="eastAsia" w:ascii="宋体" w:hAnsi="宋体" w:eastAsia="宋体" w:cs="宋体"/>
          <w:b/>
          <w:bCs w:val="0"/>
          <w:color w:val="auto"/>
          <w:sz w:val="30"/>
          <w:szCs w:val="30"/>
          <w:lang w:val="en-US" w:eastAsia="zh-CN"/>
        </w:rPr>
      </w:pPr>
      <w:r>
        <w:rPr>
          <w:rFonts w:hint="eastAsia" w:ascii="宋体" w:hAnsi="宋体" w:eastAsia="宋体" w:cs="宋体"/>
          <w:b/>
          <w:bCs w:val="0"/>
          <w:color w:val="auto"/>
          <w:sz w:val="30"/>
          <w:szCs w:val="30"/>
          <w:lang w:eastAsia="zh-CN"/>
        </w:rPr>
        <w:t>表三</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4" w:hRule="atLeast"/>
          <w:jc w:val="center"/>
        </w:trPr>
        <w:tc>
          <w:tcPr>
            <w:tcW w:w="9465" w:type="dxa"/>
            <w:noWrap w:val="0"/>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color w:val="auto"/>
                <w:sz w:val="24"/>
              </w:rPr>
            </w:pPr>
            <w:r>
              <w:rPr>
                <w:rFonts w:hint="eastAsia" w:ascii="宋体" w:hAnsi="宋体" w:eastAsia="宋体" w:cs="宋体"/>
                <w:b/>
                <w:bCs/>
                <w:color w:val="auto"/>
                <w:sz w:val="24"/>
              </w:rPr>
              <w:t>主要污染源、污染物处理和排放流程（附处理流程示意图，标出废水、废气、厂界噪声监测点位）：</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4"/>
              </w:rPr>
            </w:pPr>
            <w:r>
              <w:rPr>
                <w:rFonts w:hint="eastAsia" w:ascii="宋体" w:hAnsi="宋体" w:eastAsia="宋体" w:cs="宋体"/>
                <w:color w:val="auto"/>
                <w:sz w:val="24"/>
              </w:rPr>
              <w:t>1、废气：</w:t>
            </w:r>
          </w:p>
          <w:p>
            <w:pPr>
              <w:keepNext w:val="0"/>
              <w:keepLines w:val="0"/>
              <w:pageBreakBefore w:val="0"/>
              <w:widowControl w:val="0"/>
              <w:numPr>
                <w:ilvl w:val="0"/>
                <w:numId w:val="0"/>
              </w:numPr>
              <w:tabs>
                <w:tab w:val="left" w:pos="1408"/>
              </w:tabs>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b w:val="0"/>
                <w:bCs w:val="0"/>
                <w:kern w:val="44"/>
                <w:sz w:val="24"/>
                <w:szCs w:val="24"/>
                <w:lang w:val="en-US" w:eastAsia="zh-CN" w:bidi="ar-SA"/>
              </w:rPr>
            </w:pPr>
            <w:r>
              <w:rPr>
                <w:rFonts w:hint="eastAsia" w:ascii="Times New Roman" w:hAnsi="Times New Roman" w:eastAsia="宋体" w:cs="Times New Roman"/>
                <w:b w:val="0"/>
                <w:bCs w:val="0"/>
                <w:kern w:val="44"/>
                <w:sz w:val="24"/>
                <w:szCs w:val="24"/>
                <w:lang w:val="en-US" w:eastAsia="zh-CN" w:bidi="ar-SA"/>
              </w:rPr>
              <w:t>本项目除 HW08 类废物外，其他类别废物均不拆包装，不倒罐。项目所产生的废气主要为 HW08 储罐大小呼吸废气和 HW12 类、HW49 类危废暂存产生的有机废气，储罐呼吸废气及车载废气分别经呼吸口上方集气罩、车载废气上方集气罩收集引入一套“等离子净化器+两级活性炭吸附装置”，处理后由1根15m高排气筒排放；HW12 类、HW49 类危废暂存于密闭仓库，产生的有机废气，通过在密闭暂存间内设置集气管道，收集后与储罐废气共用一套废气治理设施进行处理。</w:t>
            </w:r>
          </w:p>
          <w:p>
            <w:pPr>
              <w:keepNext w:val="0"/>
              <w:keepLines w:val="0"/>
              <w:pageBreakBefore w:val="0"/>
              <w:widowControl w:val="0"/>
              <w:numPr>
                <w:ilvl w:val="0"/>
                <w:numId w:val="0"/>
              </w:numPr>
              <w:tabs>
                <w:tab w:val="left" w:pos="1408"/>
              </w:tabs>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kern w:val="44"/>
                <w:sz w:val="24"/>
                <w:szCs w:val="24"/>
                <w:lang w:val="en-US" w:eastAsia="zh-CN" w:bidi="ar-SA"/>
              </w:rPr>
            </w:pPr>
            <w:r>
              <w:rPr>
                <w:rFonts w:hint="eastAsia" w:ascii="Times New Roman" w:hAnsi="Times New Roman" w:eastAsia="宋体" w:cs="Times New Roman"/>
                <w:b w:val="0"/>
                <w:bCs w:val="0"/>
                <w:kern w:val="44"/>
                <w:sz w:val="24"/>
                <w:szCs w:val="24"/>
                <w:lang w:val="en-US" w:eastAsia="zh-CN" w:bidi="ar-SA"/>
              </w:rPr>
              <w:t>项目安装安装两台挥发性有机物在线监测仪VOCs超标报警传感装置，并与环保部门联网。</w:t>
            </w:r>
          </w:p>
          <w:tbl>
            <w:tblPr>
              <w:tblStyle w:val="20"/>
              <w:tblpPr w:leftFromText="180" w:rightFromText="180" w:vertAnchor="text" w:horzAnchor="page" w:tblpX="175" w:tblpY="101"/>
              <w:tblOverlap w:val="never"/>
              <w:tblW w:w="9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4"/>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eastAsia="微软雅黑"/>
                      <w:color w:val="FF0000"/>
                      <w:sz w:val="24"/>
                      <w:lang w:eastAsia="zh-CN"/>
                    </w:rPr>
                  </w:pPr>
                  <w:r>
                    <w:rPr>
                      <w:sz w:val="24"/>
                    </w:rPr>
                    <w:drawing>
                      <wp:inline distT="0" distB="0" distL="114300" distR="114300">
                        <wp:extent cx="2797810" cy="1742440"/>
                        <wp:effectExtent l="0" t="0" r="6350" b="10160"/>
                        <wp:docPr id="13" name="图片 13" descr="ea1c2f0845572e11cabb6626706d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a1c2f0845572e11cabb6626706d6ef"/>
                                <pic:cNvPicPr>
                                  <a:picLocks noChangeAspect="1"/>
                                </pic:cNvPicPr>
                              </pic:nvPicPr>
                              <pic:blipFill>
                                <a:blip r:embed="rId22"/>
                                <a:stretch>
                                  <a:fillRect/>
                                </a:stretch>
                              </pic:blipFill>
                              <pic:spPr>
                                <a:xfrm>
                                  <a:off x="0" y="0"/>
                                  <a:ext cx="2797810" cy="1742440"/>
                                </a:xfrm>
                                <a:prstGeom prst="rect">
                                  <a:avLst/>
                                </a:prstGeom>
                              </pic:spPr>
                            </pic:pic>
                          </a:graphicData>
                        </a:graphic>
                      </wp:inline>
                    </w:drawing>
                  </w:r>
                  <w:r>
                    <w:rPr>
                      <w:sz w:val="24"/>
                    </w:rPr>
                    <mc:AlternateContent>
                      <mc:Choice Requires="wps">
                        <w:drawing>
                          <wp:anchor distT="0" distB="0" distL="114300" distR="114300" simplePos="0" relativeHeight="251667456" behindDoc="0" locked="0" layoutInCell="1" allowOverlap="1">
                            <wp:simplePos x="0" y="0"/>
                            <wp:positionH relativeFrom="column">
                              <wp:posOffset>-40640</wp:posOffset>
                            </wp:positionH>
                            <wp:positionV relativeFrom="paragraph">
                              <wp:posOffset>1419225</wp:posOffset>
                            </wp:positionV>
                            <wp:extent cx="1405255" cy="321945"/>
                            <wp:effectExtent l="0" t="0" r="0" b="0"/>
                            <wp:wrapNone/>
                            <wp:docPr id="14" name="文本框 14"/>
                            <wp:cNvGraphicFramePr/>
                            <a:graphic xmlns:a="http://schemas.openxmlformats.org/drawingml/2006/main">
                              <a:graphicData uri="http://schemas.microsoft.com/office/word/2010/wordprocessingShape">
                                <wps:wsp>
                                  <wps:cNvSpPr txBox="1"/>
                                  <wps:spPr>
                                    <a:xfrm>
                                      <a:off x="1183005" y="5716905"/>
                                      <a:ext cx="1405255" cy="32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b/>
                                            <w:bCs/>
                                            <w:color w:val="FF0000"/>
                                            <w:lang w:val="en-US" w:eastAsia="zh-CN"/>
                                          </w:rPr>
                                        </w:pPr>
                                        <w:r>
                                          <w:rPr>
                                            <w:rFonts w:hint="eastAsia"/>
                                            <w:b/>
                                            <w:bCs/>
                                            <w:color w:val="FF0000"/>
                                            <w:lang w:val="en-US" w:eastAsia="zh-CN"/>
                                          </w:rPr>
                                          <w:t>储罐呼吸口集气罩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111.75pt;height:25.35pt;width:110.65pt;z-index:251667456;mso-width-relative:page;mso-height-relative:page;" filled="f" stroked="f" coordsize="21600,21600" o:gfxdata="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MTEKdwAAAAKAQAADwAAAAAA&#10;AAABACAAAAAiAAAAZHJzL2Rvd25yZXYueG1sUEsBAhQAFAAAAAgAh07iQM+XgApIAgAAdAQAAA4A&#10;AAAAAAAAAQAgAAAAKwEAAGRycy9lMm9Eb2MueG1sUEsFBgAAAAAGAAYAWQEAAOUFAAAAAA==&#10;">
                            <v:fill on="f" focussize="0,0"/>
                            <v:stroke on="f" weight="0.5pt"/>
                            <v:imagedata o:title=""/>
                            <o:lock v:ext="edit" aspectratio="f"/>
                            <v:textbox>
                              <w:txbxContent>
                                <w:p>
                                  <w:pPr>
                                    <w:rPr>
                                      <w:rFonts w:hint="default" w:eastAsia="微软雅黑"/>
                                      <w:b/>
                                      <w:bCs/>
                                      <w:color w:val="FF0000"/>
                                      <w:lang w:val="en-US" w:eastAsia="zh-CN"/>
                                    </w:rPr>
                                  </w:pPr>
                                  <w:r>
                                    <w:rPr>
                                      <w:rFonts w:hint="eastAsia"/>
                                      <w:b/>
                                      <w:bCs/>
                                      <w:color w:val="FF0000"/>
                                      <w:lang w:val="en-US" w:eastAsia="zh-CN"/>
                                    </w:rPr>
                                    <w:t>储罐呼吸口集气罩</w:t>
                                  </w:r>
                                </w:p>
                              </w:txbxContent>
                            </v:textbox>
                          </v:shape>
                        </w:pict>
                      </mc:Fallback>
                    </mc:AlternateContent>
                  </w:r>
                </w:p>
              </w:tc>
              <w:tc>
                <w:tcPr>
                  <w:tcW w:w="462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eastAsia="微软雅黑"/>
                      <w:color w:val="FF0000"/>
                      <w:sz w:val="24"/>
                      <w:lang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-45085</wp:posOffset>
                            </wp:positionH>
                            <wp:positionV relativeFrom="paragraph">
                              <wp:posOffset>1402080</wp:posOffset>
                            </wp:positionV>
                            <wp:extent cx="1254125" cy="40513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254125" cy="405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b/>
                                            <w:bCs/>
                                            <w:color w:val="FF0000"/>
                                            <w:lang w:val="en-US" w:eastAsia="zh-CN"/>
                                          </w:rPr>
                                        </w:pPr>
                                        <w:r>
                                          <w:rPr>
                                            <w:rFonts w:hint="eastAsia"/>
                                            <w:b/>
                                            <w:bCs/>
                                            <w:color w:val="FF0000"/>
                                            <w:lang w:val="en-US" w:eastAsia="zh-CN"/>
                                          </w:rPr>
                                          <w:t>车载废气集气罩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0.4pt;height:31.9pt;width:98.75pt;z-index:251668480;mso-width-relative:page;mso-height-relative:page;" filled="f" stroked="f" coordsize="21600,21600" o:gfxdata="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PZOt9oAAAAKAQAADwAAAAAAAAABACAAAAAiAAAAZHJz&#10;L2Rvd25yZXYueG1sUEsBAhQAFAAAAAgAh07iQOm+iMc7AgAAaAQAAA4AAAAAAAAAAQAgAAAAKQEA&#10;AGRycy9lMm9Eb2MueG1sUEsFBgAAAAAGAAYAWQEAANYFAAAAAA==&#10;">
                            <v:fill on="f" focussize="0,0"/>
                            <v:stroke on="f" weight="0.5pt"/>
                            <v:imagedata o:title=""/>
                            <o:lock v:ext="edit" aspectratio="f"/>
                            <v:textbox>
                              <w:txbxContent>
                                <w:p>
                                  <w:pPr>
                                    <w:rPr>
                                      <w:rFonts w:hint="default" w:eastAsia="微软雅黑"/>
                                      <w:b/>
                                      <w:bCs/>
                                      <w:color w:val="FF0000"/>
                                      <w:lang w:val="en-US" w:eastAsia="zh-CN"/>
                                    </w:rPr>
                                  </w:pPr>
                                  <w:r>
                                    <w:rPr>
                                      <w:rFonts w:hint="eastAsia"/>
                                      <w:b/>
                                      <w:bCs/>
                                      <w:color w:val="FF0000"/>
                                      <w:lang w:val="en-US" w:eastAsia="zh-CN"/>
                                    </w:rPr>
                                    <w:t>车载废气集气罩</w:t>
                                  </w:r>
                                </w:p>
                              </w:txbxContent>
                            </v:textbox>
                          </v:shape>
                        </w:pict>
                      </mc:Fallback>
                    </mc:AlternateContent>
                  </w:r>
                  <w:r>
                    <w:rPr>
                      <w:sz w:val="24"/>
                    </w:rPr>
                    <w:drawing>
                      <wp:inline distT="0" distB="0" distL="114300" distR="114300">
                        <wp:extent cx="2767330" cy="1708150"/>
                        <wp:effectExtent l="0" t="0" r="6350" b="13970"/>
                        <wp:docPr id="47" name="图片 47" descr="35417a74d2eb699e72535159146f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5417a74d2eb699e72535159146f08b"/>
                                <pic:cNvPicPr>
                                  <a:picLocks noChangeAspect="1"/>
                                </pic:cNvPicPr>
                              </pic:nvPicPr>
                              <pic:blipFill>
                                <a:blip r:embed="rId23"/>
                                <a:stretch>
                                  <a:fillRect/>
                                </a:stretch>
                              </pic:blipFill>
                              <pic:spPr>
                                <a:xfrm>
                                  <a:off x="0" y="0"/>
                                  <a:ext cx="2767330" cy="1708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eastAsia="微软雅黑"/>
                      <w:color w:val="FF0000"/>
                      <w:sz w:val="24"/>
                      <w:lang w:eastAsia="zh-CN"/>
                    </w:rPr>
                  </w:pPr>
                  <w:r>
                    <w:rPr>
                      <w:sz w:val="24"/>
                    </w:rPr>
                    <mc:AlternateContent>
                      <mc:Choice Requires="wps">
                        <w:drawing>
                          <wp:anchor distT="0" distB="0" distL="114300" distR="114300" simplePos="0" relativeHeight="251677696" behindDoc="0" locked="0" layoutInCell="1" allowOverlap="1">
                            <wp:simplePos x="0" y="0"/>
                            <wp:positionH relativeFrom="column">
                              <wp:posOffset>-36830</wp:posOffset>
                            </wp:positionH>
                            <wp:positionV relativeFrom="paragraph">
                              <wp:posOffset>1314450</wp:posOffset>
                            </wp:positionV>
                            <wp:extent cx="2026920" cy="34798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026920" cy="347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HW12车间内废气收集管道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pt;margin-top:103.5pt;height:27.4pt;width:159.6pt;z-index:251677696;mso-width-relative:page;mso-height-relative:page;" filled="f" stroked="f" coordsize="21600,21600" o:gfxdata="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&#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WCvunbAAAACgEAAA8AAAAAAAAAAQAgAAAAIgAA&#10;AGRycy9kb3ducmV2LnhtbFBLAQIUABQAAAAIAIdO4kCxx5SVPgIAAGgEAAAOAAAAAAAAAAEAIAAA&#10;ACoBAABkcnMvZTJvRG9jLnhtbFBLBQYAAAAABgAGAFkBAADaBQ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HW12车间内废气收集管道</w:t>
                                  </w:r>
                                </w:p>
                              </w:txbxContent>
                            </v:textbox>
                          </v:shape>
                        </w:pict>
                      </mc:Fallback>
                    </mc:AlternateContent>
                  </w:r>
                  <w:r>
                    <w:rPr>
                      <w:sz w:val="24"/>
                    </w:rPr>
                    <w:drawing>
                      <wp:inline distT="0" distB="0" distL="114300" distR="114300">
                        <wp:extent cx="2797810" cy="1643380"/>
                        <wp:effectExtent l="0" t="0" r="6350" b="2540"/>
                        <wp:docPr id="46" name="图片 46" descr="acea3b27e2b807de886b144fa872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cea3b27e2b807de886b144fa8725e0"/>
                                <pic:cNvPicPr>
                                  <a:picLocks noChangeAspect="1"/>
                                </pic:cNvPicPr>
                              </pic:nvPicPr>
                              <pic:blipFill>
                                <a:blip r:embed="rId36"/>
                                <a:srcRect b="22063"/>
                                <a:stretch>
                                  <a:fillRect/>
                                </a:stretch>
                              </pic:blipFill>
                              <pic:spPr>
                                <a:xfrm>
                                  <a:off x="0" y="0"/>
                                  <a:ext cx="2797810" cy="1643380"/>
                                </a:xfrm>
                                <a:prstGeom prst="rect">
                                  <a:avLst/>
                                </a:prstGeom>
                              </pic:spPr>
                            </pic:pic>
                          </a:graphicData>
                        </a:graphic>
                      </wp:inline>
                    </w:drawing>
                  </w:r>
                </w:p>
              </w:tc>
              <w:tc>
                <w:tcPr>
                  <w:tcW w:w="462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eastAsia="微软雅黑"/>
                      <w:color w:val="FF0000"/>
                      <w:sz w:val="24"/>
                      <w:lang w:eastAsia="zh-CN"/>
                    </w:rPr>
                  </w:pPr>
                  <w:r>
                    <w:rPr>
                      <w:sz w:val="24"/>
                    </w:rPr>
                    <mc:AlternateContent>
                      <mc:Choice Requires="wps">
                        <w:drawing>
                          <wp:anchor distT="0" distB="0" distL="114300" distR="114300" simplePos="0" relativeHeight="251678720" behindDoc="0" locked="0" layoutInCell="1" allowOverlap="1">
                            <wp:simplePos x="0" y="0"/>
                            <wp:positionH relativeFrom="column">
                              <wp:posOffset>44450</wp:posOffset>
                            </wp:positionH>
                            <wp:positionV relativeFrom="paragraph">
                              <wp:posOffset>1276350</wp:posOffset>
                            </wp:positionV>
                            <wp:extent cx="2026920" cy="34798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26920" cy="347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HW49车间内废气收集管道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100.5pt;height:27.4pt;width:159.6pt;z-index:251678720;mso-width-relative:page;mso-height-relative:page;" filled="f" stroked="f" coordsize="21600,21600" o:gfxdata="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7U6t7aAAAACQEAAA8AAAAAAAAAAQAgAAAAIgAAAGRy&#10;cy9kb3ducmV2LnhtbFBLAQIUABQAAAAIAIdO4kAvP++UPAIAAGgEAAAOAAAAAAAAAAEAIAAAACkB&#10;AABkcnMvZTJvRG9jLnhtbFBLBQYAAAAABgAGAFkBAADXBQ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HW49车间内废气收集管道</w:t>
                                  </w:r>
                                </w:p>
                              </w:txbxContent>
                            </v:textbox>
                          </v:shape>
                        </w:pict>
                      </mc:Fallback>
                    </mc:AlternateContent>
                  </w:r>
                  <w:r>
                    <w:rPr>
                      <w:sz w:val="24"/>
                    </w:rPr>
                    <w:drawing>
                      <wp:inline distT="0" distB="0" distL="114300" distR="114300">
                        <wp:extent cx="2698115" cy="1659255"/>
                        <wp:effectExtent l="0" t="0" r="14605" b="1905"/>
                        <wp:docPr id="49" name="图片 49" descr="1febda48bce13297c1970918f5f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febda48bce13297c1970918f5fb3d8"/>
                                <pic:cNvPicPr>
                                  <a:picLocks noChangeAspect="1"/>
                                </pic:cNvPicPr>
                              </pic:nvPicPr>
                              <pic:blipFill>
                                <a:blip r:embed="rId37"/>
                                <a:stretch>
                                  <a:fillRect/>
                                </a:stretch>
                              </pic:blipFill>
                              <pic:spPr>
                                <a:xfrm>
                                  <a:off x="0" y="0"/>
                                  <a:ext cx="2698115" cy="1659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sz w:val="24"/>
                    </w:rPr>
                  </w:pPr>
                  <w:r>
                    <w:rPr>
                      <w:sz w:val="24"/>
                    </w:rPr>
                    <w:drawing>
                      <wp:inline distT="0" distB="0" distL="114300" distR="114300">
                        <wp:extent cx="2796540" cy="1698625"/>
                        <wp:effectExtent l="0" t="0" r="7620" b="8255"/>
                        <wp:docPr id="10" name="图片 10" descr="71f76771dd25e2831ce856cfc6c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1f76771dd25e2831ce856cfc6c5934"/>
                                <pic:cNvPicPr>
                                  <a:picLocks noChangeAspect="1"/>
                                </pic:cNvPicPr>
                              </pic:nvPicPr>
                              <pic:blipFill>
                                <a:blip r:embed="rId33"/>
                                <a:stretch>
                                  <a:fillRect/>
                                </a:stretch>
                              </pic:blipFill>
                              <pic:spPr>
                                <a:xfrm>
                                  <a:off x="0" y="0"/>
                                  <a:ext cx="2796540" cy="1698625"/>
                                </a:xfrm>
                                <a:prstGeom prst="rect">
                                  <a:avLst/>
                                </a:prstGeom>
                              </pic:spPr>
                            </pic:pic>
                          </a:graphicData>
                        </a:graphic>
                      </wp:inline>
                    </w:drawing>
                  </w:r>
                  <w:r>
                    <w:rPr>
                      <w:sz w:val="24"/>
                    </w:rPr>
                    <mc:AlternateContent>
                      <mc:Choice Requires="wps">
                        <w:drawing>
                          <wp:anchor distT="0" distB="0" distL="114300" distR="114300" simplePos="0" relativeHeight="251669504" behindDoc="0" locked="0" layoutInCell="1" allowOverlap="1">
                            <wp:simplePos x="0" y="0"/>
                            <wp:positionH relativeFrom="column">
                              <wp:posOffset>115570</wp:posOffset>
                            </wp:positionH>
                            <wp:positionV relativeFrom="paragraph">
                              <wp:posOffset>1071880</wp:posOffset>
                            </wp:positionV>
                            <wp:extent cx="1905000" cy="5842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905000" cy="584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bCs/>
                                            <w:color w:val="FF0000"/>
                                            <w:lang w:val="en-US" w:eastAsia="zh-CN"/>
                                          </w:rPr>
                                        </w:pPr>
                                        <w:r>
                                          <w:rPr>
                                            <w:rFonts w:hint="eastAsia"/>
                                            <w:b/>
                                            <w:bCs/>
                                            <w:color w:val="FF0000"/>
                                            <w:lang w:val="en-US" w:eastAsia="zh-CN"/>
                                          </w:rPr>
                                          <w:t>等离子净化器+两级活性炭吸附装置+15米高排气筒</w:t>
                                        </w:r>
                                      </w:p>
                                      <w:p>
                                        <w:pPr>
                                          <w:pStyle w:val="24"/>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84.4pt;height:46pt;width:150pt;z-index:251669504;mso-width-relative:page;mso-height-relative:page;" filled="f" stroked="f" coordsize="21600,21600" o:gfxdata="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b7rWdgAAAAKAQAADwAAAAAAAAABACAAAAAiAAAAZHJzL2Rv&#10;d25yZXYueG1sUEsBAhQAFAAAAAgAh07iQK9nog06AgAAaAQAAA4AAAAAAAAAAQAgAAAAJwEAAGRy&#10;cy9lMm9Eb2MueG1sUEsFBgAAAAAGAAYAWQEAANM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bCs/>
                                      <w:color w:val="FF0000"/>
                                      <w:lang w:val="en-US" w:eastAsia="zh-CN"/>
                                    </w:rPr>
                                  </w:pPr>
                                  <w:r>
                                    <w:rPr>
                                      <w:rFonts w:hint="eastAsia"/>
                                      <w:b/>
                                      <w:bCs/>
                                      <w:color w:val="FF0000"/>
                                      <w:lang w:val="en-US" w:eastAsia="zh-CN"/>
                                    </w:rPr>
                                    <w:t>等离子净化器+两级活性炭吸附装置+15米高排气筒</w:t>
                                  </w:r>
                                </w:p>
                                <w:p>
                                  <w:pPr>
                                    <w:pStyle w:val="24"/>
                                    <w:rPr>
                                      <w:rFonts w:hint="default"/>
                                      <w:lang w:val="en-US" w:eastAsia="zh-CN"/>
                                    </w:rPr>
                                  </w:pPr>
                                </w:p>
                              </w:txbxContent>
                            </v:textbox>
                          </v:shape>
                        </w:pict>
                      </mc:Fallback>
                    </mc:AlternateContent>
                  </w:r>
                </w:p>
              </w:tc>
              <w:tc>
                <w:tcPr>
                  <w:tcW w:w="462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eastAsia="微软雅黑"/>
                      <w:sz w:val="24"/>
                      <w:lang w:eastAsia="zh-CN"/>
                    </w:rPr>
                  </w:pPr>
                  <w:r>
                    <w:rPr>
                      <w:sz w:val="24"/>
                    </w:rPr>
                    <mc:AlternateContent>
                      <mc:Choice Requires="wps">
                        <w:drawing>
                          <wp:anchor distT="0" distB="0" distL="114300" distR="114300" simplePos="0" relativeHeight="251679744" behindDoc="0" locked="0" layoutInCell="1" allowOverlap="1">
                            <wp:simplePos x="0" y="0"/>
                            <wp:positionH relativeFrom="column">
                              <wp:posOffset>82550</wp:posOffset>
                            </wp:positionH>
                            <wp:positionV relativeFrom="paragraph">
                              <wp:posOffset>1338580</wp:posOffset>
                            </wp:positionV>
                            <wp:extent cx="1905000" cy="34798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905000" cy="347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bCs/>
                                            <w:color w:val="FF0000"/>
                                            <w:lang w:val="en-US" w:eastAsia="zh-CN"/>
                                          </w:rPr>
                                        </w:pPr>
                                        <w:r>
                                          <w:rPr>
                                            <w:rFonts w:hint="default"/>
                                            <w:b/>
                                            <w:bCs/>
                                            <w:color w:val="FF0000"/>
                                            <w:lang w:val="en-US" w:eastAsia="zh-CN"/>
                                          </w:rPr>
                                          <w:t>VOCs超标报警传感装置</w:t>
                                        </w:r>
                                      </w:p>
                                      <w:p>
                                        <w:pPr>
                                          <w:pStyle w:val="24"/>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105.4pt;height:27.4pt;width:150pt;z-index:251679744;mso-width-relative:page;mso-height-relative:page;" filled="f" stroked="f" coordsize="21600,21600" o:gfxdata="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y+C+NkAAAAKAQAADwAAAAAAAAABACAAAAAiAAAAZHJz&#10;L2Rvd25yZXYueG1sUEsBAhQAFAAAAAgAh07iQP9dLuQ8AgAAaAQAAA4AAAAAAAAAAQAgAAAAKAEA&#10;AGRycy9lMm9Eb2MueG1sUEsFBgAAAAAGAAYAWQEAANY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bCs/>
                                      <w:color w:val="FF0000"/>
                                      <w:lang w:val="en-US" w:eastAsia="zh-CN"/>
                                    </w:rPr>
                                  </w:pPr>
                                  <w:r>
                                    <w:rPr>
                                      <w:rFonts w:hint="default"/>
                                      <w:b/>
                                      <w:bCs/>
                                      <w:color w:val="FF0000"/>
                                      <w:lang w:val="en-US" w:eastAsia="zh-CN"/>
                                    </w:rPr>
                                    <w:t>VOCs超标报警传感装置</w:t>
                                  </w:r>
                                </w:p>
                                <w:p>
                                  <w:pPr>
                                    <w:pStyle w:val="24"/>
                                    <w:rPr>
                                      <w:rFonts w:hint="default"/>
                                      <w:lang w:val="en-US" w:eastAsia="zh-CN"/>
                                    </w:rPr>
                                  </w:pPr>
                                </w:p>
                              </w:txbxContent>
                            </v:textbox>
                          </v:shape>
                        </w:pict>
                      </mc:Fallback>
                    </mc:AlternateContent>
                  </w:r>
                  <w:r>
                    <w:rPr>
                      <w:rFonts w:hint="eastAsia" w:eastAsia="微软雅黑"/>
                      <w:sz w:val="24"/>
                      <w:lang w:eastAsia="zh-CN"/>
                    </w:rPr>
                    <w:drawing>
                      <wp:inline distT="0" distB="0" distL="114300" distR="114300">
                        <wp:extent cx="2645410" cy="1747520"/>
                        <wp:effectExtent l="0" t="0" r="6350" b="5080"/>
                        <wp:docPr id="51" name="图片 51" descr="35fa16b138c556ccb7bd579767f3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5fa16b138c556ccb7bd579767f3e97"/>
                                <pic:cNvPicPr>
                                  <a:picLocks noChangeAspect="1"/>
                                </pic:cNvPicPr>
                              </pic:nvPicPr>
                              <pic:blipFill>
                                <a:blip r:embed="rId38"/>
                                <a:stretch>
                                  <a:fillRect/>
                                </a:stretch>
                              </pic:blipFill>
                              <pic:spPr>
                                <a:xfrm>
                                  <a:off x="0" y="0"/>
                                  <a:ext cx="2645410" cy="17475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right="0" w:rightChars="0"/>
              <w:jc w:val="center"/>
              <w:textAlignment w:val="auto"/>
              <w:rPr>
                <w:rFonts w:hint="eastAsia" w:ascii="宋体" w:hAnsi="宋体" w:eastAsia="宋体" w:cs="宋体"/>
                <w:color w:val="FF0000"/>
                <w:spacing w:val="0"/>
                <w:sz w:val="24"/>
                <w:szCs w:val="24"/>
                <w:lang w:eastAsia="zh-CN"/>
              </w:rPr>
            </w:pPr>
            <w:r>
              <w:rPr>
                <w:rFonts w:hint="eastAsia" w:ascii="宋体" w:hAnsi="宋体" w:eastAsia="宋体" w:cs="宋体"/>
                <w:b/>
                <w:iCs/>
                <w:color w:val="auto"/>
                <w:sz w:val="24"/>
                <w:u w:val="none"/>
                <w:lang w:eastAsia="zh-CN"/>
              </w:rPr>
              <w:t>图</w:t>
            </w:r>
            <w:r>
              <w:rPr>
                <w:rFonts w:hint="eastAsia" w:ascii="宋体" w:hAnsi="宋体" w:eastAsia="宋体" w:cs="宋体"/>
                <w:b/>
                <w:iCs/>
                <w:color w:val="auto"/>
                <w:sz w:val="24"/>
                <w:u w:val="none"/>
                <w:lang w:val="en-US" w:eastAsia="zh-CN"/>
              </w:rPr>
              <w:t xml:space="preserve">4  </w:t>
            </w:r>
            <w:r>
              <w:rPr>
                <w:rFonts w:hint="eastAsia" w:ascii="宋体" w:hAnsi="宋体" w:eastAsia="宋体" w:cs="宋体"/>
                <w:b/>
                <w:iCs/>
                <w:color w:val="auto"/>
                <w:sz w:val="24"/>
                <w:u w:val="none"/>
                <w:lang w:eastAsia="zh-CN"/>
              </w:rPr>
              <w:t>废气治理设施现场照片</w:t>
            </w:r>
          </w:p>
        </w:tc>
      </w:tr>
    </w:tbl>
    <w:p>
      <w:pPr>
        <w:spacing w:after="0" w:line="360" w:lineRule="auto"/>
        <w:rPr>
          <w:rFonts w:ascii="Times New Roman" w:cs="Times New Roman" w:hAnsiTheme="minorEastAsia" w:eastAsiaTheme="minorEastAsia"/>
          <w:b/>
          <w:color w:val="FF0000"/>
          <w:sz w:val="28"/>
          <w:szCs w:val="28"/>
        </w:rPr>
        <w:sectPr>
          <w:pgSz w:w="11906" w:h="16838"/>
          <w:pgMar w:top="1077" w:right="1440" w:bottom="1077" w:left="1440" w:header="709" w:footer="709"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40"/>
        <w:textAlignment w:val="auto"/>
        <w:rPr>
          <w:rFonts w:hint="eastAsia" w:ascii="宋体" w:hAnsi="宋体" w:eastAsia="宋体" w:cs="宋体"/>
          <w:b/>
          <w:bCs w:val="0"/>
          <w:color w:val="auto"/>
          <w:sz w:val="30"/>
          <w:szCs w:val="30"/>
          <w:lang w:eastAsia="zh-CN"/>
        </w:rPr>
      </w:pPr>
      <w:r>
        <w:rPr>
          <w:rFonts w:hint="eastAsia" w:ascii="宋体" w:hAnsi="宋体" w:eastAsia="宋体" w:cs="宋体"/>
          <w:b/>
          <w:bCs w:val="0"/>
          <w:color w:val="auto"/>
          <w:sz w:val="30"/>
          <w:szCs w:val="30"/>
          <w:lang w:eastAsia="zh-CN"/>
        </w:rPr>
        <w:t>续表三</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465"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废水：</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52"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本项目无生产废水产生，未新增劳动定员，无生活废水产生。</w:t>
            </w:r>
          </w:p>
          <w:p>
            <w:pPr>
              <w:keepNext w:val="0"/>
              <w:keepLines w:val="0"/>
              <w:pageBreakBefore w:val="0"/>
              <w:widowControl w:val="0"/>
              <w:kinsoku/>
              <w:wordWrap/>
              <w:overflowPunct/>
              <w:topLinePunct w:val="0"/>
              <w:autoSpaceDE/>
              <w:autoSpaceDN/>
              <w:bidi w:val="0"/>
              <w:spacing w:after="0" w:line="360" w:lineRule="auto"/>
              <w:textAlignment w:val="auto"/>
              <w:rPr>
                <w:rFonts w:hint="eastAsia" w:ascii="宋体" w:hAnsi="宋体" w:eastAsia="宋体" w:cs="宋体"/>
                <w:color w:val="auto"/>
                <w:sz w:val="24"/>
              </w:rPr>
            </w:pPr>
            <w:r>
              <w:rPr>
                <w:rFonts w:hint="eastAsia" w:ascii="宋体" w:hAnsi="宋体" w:eastAsia="宋体" w:cs="宋体"/>
                <w:color w:val="auto"/>
                <w:sz w:val="24"/>
              </w:rPr>
              <w:t>3、噪声：</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52"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项目主要噪声污染为风机、输油泵运行产生的机械噪声和空气动力性噪声。</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52"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项目采取选用低噪声设备，设置基础</w:t>
            </w:r>
            <w:r>
              <w:rPr>
                <w:rFonts w:hint="eastAsia" w:ascii="宋体" w:hAnsi="宋体" w:cs="宋体"/>
                <w:color w:val="auto"/>
                <w:sz w:val="24"/>
                <w:szCs w:val="24"/>
                <w:lang w:val="en-US" w:eastAsia="zh-CN"/>
              </w:rPr>
              <w:t>减振，</w:t>
            </w:r>
            <w:r>
              <w:rPr>
                <w:rFonts w:hint="eastAsia" w:ascii="宋体" w:hAnsi="宋体" w:cs="宋体"/>
                <w:color w:val="auto"/>
                <w:sz w:val="24"/>
                <w:szCs w:val="24"/>
                <w:lang w:eastAsia="zh-CN"/>
              </w:rPr>
              <w:t>将</w:t>
            </w:r>
            <w:r>
              <w:rPr>
                <w:rFonts w:hint="eastAsia" w:ascii="宋体" w:hAnsi="宋体" w:cs="宋体"/>
                <w:color w:val="auto"/>
                <w:sz w:val="24"/>
                <w:szCs w:val="24"/>
                <w:lang w:val="en-US" w:eastAsia="zh-CN"/>
              </w:rPr>
              <w:t>输油泵</w:t>
            </w:r>
            <w:r>
              <w:rPr>
                <w:rFonts w:hint="eastAsia" w:ascii="宋体" w:hAnsi="宋体" w:cs="宋体"/>
                <w:color w:val="auto"/>
                <w:sz w:val="24"/>
                <w:szCs w:val="24"/>
                <w:lang w:eastAsia="zh-CN"/>
              </w:rPr>
              <w:t>设备置于车间内，再经</w:t>
            </w:r>
            <w:r>
              <w:rPr>
                <w:rFonts w:hint="eastAsia" w:ascii="宋体" w:hAnsi="宋体" w:cs="宋体"/>
                <w:color w:val="auto"/>
                <w:sz w:val="24"/>
                <w:szCs w:val="24"/>
                <w:lang w:val="en-US" w:eastAsia="zh-CN"/>
              </w:rPr>
              <w:t>围墙隔声、</w:t>
            </w:r>
            <w:r>
              <w:rPr>
                <w:rFonts w:hint="eastAsia" w:ascii="宋体" w:hAnsi="宋体" w:cs="宋体"/>
                <w:color w:val="auto"/>
                <w:sz w:val="24"/>
                <w:szCs w:val="24"/>
                <w:lang w:eastAsia="zh-CN"/>
              </w:rPr>
              <w:t>距离衰减</w:t>
            </w:r>
            <w:r>
              <w:rPr>
                <w:rFonts w:hint="eastAsia" w:ascii="宋体" w:hAnsi="宋体" w:cs="宋体"/>
                <w:color w:val="auto"/>
                <w:sz w:val="24"/>
                <w:szCs w:val="24"/>
                <w:lang w:val="en-US" w:eastAsia="zh-CN"/>
              </w:rPr>
              <w:t>等措施降噪</w:t>
            </w:r>
            <w:r>
              <w:rPr>
                <w:rFonts w:hint="eastAsia" w:ascii="宋体" w:hAnsi="宋体" w:cs="宋体"/>
                <w:color w:val="auto"/>
                <w:sz w:val="24"/>
                <w:szCs w:val="24"/>
                <w:lang w:eastAsia="zh-CN"/>
              </w:rPr>
              <w:t>。</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eastAsia="宋体"/>
                <w:b w:val="0"/>
                <w:bCs w:val="0"/>
                <w:color w:val="auto"/>
                <w:sz w:val="24"/>
                <w:lang w:val="en-US" w:eastAsia="zh-CN"/>
              </w:rPr>
            </w:pPr>
            <w:r>
              <w:rPr>
                <w:rFonts w:hint="eastAsia" w:ascii="宋体" w:hAnsi="宋体"/>
                <w:color w:val="auto"/>
                <w:spacing w:val="0"/>
                <w:sz w:val="24"/>
                <w:szCs w:val="24"/>
                <w:lang w:val="en-US" w:eastAsia="zh-CN"/>
              </w:rPr>
              <w:t>4、固体废物</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52"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项目产生的固体废物主要为储罐清理产生的油泥、生产过程产生的废抹布、废劳保用品、废塑料箱、有机废气治理产生的废活性炭，收集后暂存于危废暂存间，定期交有资质单位进行处置。</w:t>
            </w:r>
          </w:p>
          <w:tbl>
            <w:tblPr>
              <w:tblStyle w:val="20"/>
              <w:tblW w:w="9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4"/>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4" w:type="dxa"/>
                </w:tcPr>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pacing w:val="0"/>
                      <w:sz w:val="24"/>
                      <w:szCs w:val="24"/>
                      <w:vertAlign w:val="baseline"/>
                      <w:lang w:val="en-US" w:eastAsia="zh-CN"/>
                    </w:rPr>
                  </w:pPr>
                  <w:r>
                    <w:rPr>
                      <w:sz w:val="24"/>
                    </w:rPr>
                    <w:drawing>
                      <wp:inline distT="0" distB="0" distL="114300" distR="114300">
                        <wp:extent cx="2797810" cy="2221865"/>
                        <wp:effectExtent l="0" t="0" r="6350" b="3175"/>
                        <wp:docPr id="54" name="图片 54" descr="8accf97ad4b81a2a6bb8cc02e02e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accf97ad4b81a2a6bb8cc02e02ea59"/>
                                <pic:cNvPicPr>
                                  <a:picLocks noChangeAspect="1"/>
                                </pic:cNvPicPr>
                              </pic:nvPicPr>
                              <pic:blipFill>
                                <a:blip r:embed="rId39"/>
                                <a:stretch>
                                  <a:fillRect/>
                                </a:stretch>
                              </pic:blipFill>
                              <pic:spPr>
                                <a:xfrm>
                                  <a:off x="0" y="0"/>
                                  <a:ext cx="2797810" cy="2221865"/>
                                </a:xfrm>
                                <a:prstGeom prst="rect">
                                  <a:avLst/>
                                </a:prstGeom>
                              </pic:spPr>
                            </pic:pic>
                          </a:graphicData>
                        </a:graphic>
                      </wp:inline>
                    </w:drawing>
                  </w:r>
                  <w:r>
                    <w:rPr>
                      <w:sz w:val="24"/>
                    </w:rPr>
                    <mc:AlternateContent>
                      <mc:Choice Requires="wps">
                        <w:drawing>
                          <wp:anchor distT="0" distB="0" distL="114300" distR="114300" simplePos="0" relativeHeight="251670528" behindDoc="0" locked="0" layoutInCell="1" allowOverlap="1">
                            <wp:simplePos x="0" y="0"/>
                            <wp:positionH relativeFrom="column">
                              <wp:posOffset>-20320</wp:posOffset>
                            </wp:positionH>
                            <wp:positionV relativeFrom="paragraph">
                              <wp:posOffset>1840230</wp:posOffset>
                            </wp:positionV>
                            <wp:extent cx="879475" cy="32194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79475" cy="32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val="0"/>
                                            <w:bCs w:val="0"/>
                                            <w:color w:val="FF0000"/>
                                            <w:lang w:val="en-US" w:eastAsia="zh-CN"/>
                                          </w:rPr>
                                        </w:pPr>
                                        <w:r>
                                          <w:rPr>
                                            <w:rFonts w:hint="eastAsia"/>
                                            <w:b w:val="0"/>
                                            <w:bCs w:val="0"/>
                                            <w:color w:val="FF0000"/>
                                            <w:lang w:val="en-US" w:eastAsia="zh-CN"/>
                                          </w:rPr>
                                          <w:t>危废标识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44.9pt;height:25.35pt;width:69.25pt;z-index:251670528;mso-width-relative:page;mso-height-relative:page;" filled="f" stroked="f" coordsize="21600,21600" o:gfxdata="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6LuStoAAAAKAQAADwAAAAAAAAABACAAAAAiAAAAZHJz&#10;L2Rvd25yZXYueG1sUEsBAhQAFAAAAAgAh07iQG7/gYc7AgAAZwQAAA4AAAAAAAAAAQAgAAAAKQEA&#10;AGRycy9lMm9Eb2MueG1sUEsFBgAAAAAGAAYAWQEAANY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val="0"/>
                                      <w:bCs w:val="0"/>
                                      <w:color w:val="FF0000"/>
                                      <w:lang w:val="en-US" w:eastAsia="zh-CN"/>
                                    </w:rPr>
                                  </w:pPr>
                                  <w:r>
                                    <w:rPr>
                                      <w:rFonts w:hint="eastAsia"/>
                                      <w:b w:val="0"/>
                                      <w:bCs w:val="0"/>
                                      <w:color w:val="FF0000"/>
                                      <w:lang w:val="en-US" w:eastAsia="zh-CN"/>
                                    </w:rPr>
                                    <w:t>危废标识</w:t>
                                  </w:r>
                                </w:p>
                              </w:txbxContent>
                            </v:textbox>
                          </v:shape>
                        </w:pict>
                      </mc:Fallback>
                    </mc:AlternateContent>
                  </w:r>
                </w:p>
              </w:tc>
              <w:tc>
                <w:tcPr>
                  <w:tcW w:w="4625" w:type="dxa"/>
                </w:tcPr>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pacing w:val="0"/>
                      <w:sz w:val="24"/>
                      <w:szCs w:val="24"/>
                      <w:vertAlign w:val="baseline"/>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1849120</wp:posOffset>
                            </wp:positionV>
                            <wp:extent cx="1429385" cy="32194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429385" cy="32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bCs/>
                                            <w:color w:val="FF0000"/>
                                            <w:lang w:val="en-US" w:eastAsia="zh-CN"/>
                                          </w:rPr>
                                        </w:pPr>
                                        <w:r>
                                          <w:rPr>
                                            <w:rFonts w:hint="eastAsia"/>
                                            <w:b/>
                                            <w:bCs/>
                                            <w:color w:val="FF0000"/>
                                            <w:lang w:val="en-US" w:eastAsia="zh-CN"/>
                                          </w:rPr>
                                          <w:t>危险废物分区存放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145.6pt;height:25.35pt;width:112.55pt;z-index:251671552;mso-width-relative:page;mso-height-relative:page;" filled="f" stroked="f" coordsize="21600,21600" o:gfxdata="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5RiN02gAAAAkBAAAPAAAAAAAAAAEAIAAAACIAAABk&#10;cnMvZG93bnJldi54bWxQSwECFAAUAAAACACHTuJA4ijVOz0CAABoBAAADgAAAAAAAAABACAAAAAp&#10;AQAAZHJzL2Uyb0RvYy54bWxQSwUGAAAAAAYABgBZAQAA2A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b/>
                                      <w:bCs/>
                                      <w:color w:val="FF0000"/>
                                      <w:lang w:val="en-US" w:eastAsia="zh-CN"/>
                                    </w:rPr>
                                  </w:pPr>
                                  <w:r>
                                    <w:rPr>
                                      <w:rFonts w:hint="eastAsia"/>
                                      <w:b/>
                                      <w:bCs/>
                                      <w:color w:val="FF0000"/>
                                      <w:lang w:val="en-US" w:eastAsia="zh-CN"/>
                                    </w:rPr>
                                    <w:t>危险废物分区存放</w:t>
                                  </w:r>
                                </w:p>
                              </w:txbxContent>
                            </v:textbox>
                          </v:shape>
                        </w:pict>
                      </mc:Fallback>
                    </mc:AlternateContent>
                  </w:r>
                  <w:r>
                    <w:rPr>
                      <w:rFonts w:hint="eastAsia" w:ascii="宋体" w:hAnsi="宋体" w:eastAsia="宋体" w:cs="宋体"/>
                      <w:color w:val="auto"/>
                      <w:spacing w:val="0"/>
                      <w:sz w:val="24"/>
                      <w:szCs w:val="24"/>
                      <w:vertAlign w:val="baseline"/>
                      <w:lang w:val="en-US" w:eastAsia="zh-CN"/>
                    </w:rPr>
                    <w:drawing>
                      <wp:inline distT="0" distB="0" distL="114300" distR="114300">
                        <wp:extent cx="2773680" cy="2217420"/>
                        <wp:effectExtent l="0" t="0" r="0" b="7620"/>
                        <wp:docPr id="16" name="图片 16" descr="d791c94aa6e67432467262d492d1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791c94aa6e67432467262d492d140c"/>
                                <pic:cNvPicPr>
                                  <a:picLocks noChangeAspect="1"/>
                                </pic:cNvPicPr>
                              </pic:nvPicPr>
                              <pic:blipFill>
                                <a:blip r:embed="rId40"/>
                                <a:stretch>
                                  <a:fillRect/>
                                </a:stretch>
                              </pic:blipFill>
                              <pic:spPr>
                                <a:xfrm>
                                  <a:off x="0" y="0"/>
                                  <a:ext cx="2773680" cy="2217420"/>
                                </a:xfrm>
                                <a:prstGeom prst="rect">
                                  <a:avLst/>
                                </a:prstGeom>
                              </pic:spPr>
                            </pic:pic>
                          </a:graphicData>
                        </a:graphic>
                      </wp:inline>
                    </w:drawing>
                  </w:r>
                </w:p>
              </w:tc>
            </w:tr>
          </w:tbl>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宋体" w:hAnsi="宋体"/>
                <w:color w:val="auto"/>
                <w:spacing w:val="0"/>
                <w:sz w:val="24"/>
                <w:szCs w:val="24"/>
                <w:lang w:val="en-US" w:eastAsia="zh-CN"/>
              </w:rPr>
            </w:pPr>
            <w:r>
              <w:rPr>
                <w:rFonts w:hint="eastAsia" w:ascii="宋体" w:hAnsi="宋体"/>
                <w:color w:val="auto"/>
                <w:spacing w:val="0"/>
                <w:sz w:val="24"/>
                <w:szCs w:val="24"/>
                <w:lang w:val="en-US" w:eastAsia="zh-CN"/>
              </w:rPr>
              <w:t>5、排污口规范化</w:t>
            </w:r>
          </w:p>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olor w:val="auto"/>
                <w:spacing w:val="0"/>
                <w:sz w:val="24"/>
                <w:szCs w:val="24"/>
                <w:lang w:val="en-US" w:eastAsia="zh-CN"/>
              </w:rPr>
            </w:pPr>
            <w:r>
              <w:rPr>
                <w:rFonts w:hint="eastAsia" w:ascii="宋体" w:hAnsi="宋体"/>
                <w:color w:val="auto"/>
                <w:spacing w:val="0"/>
                <w:sz w:val="24"/>
                <w:szCs w:val="24"/>
                <w:lang w:val="en-US" w:eastAsia="zh-CN"/>
              </w:rPr>
              <w:t>本扩建项目“三废”中废气排放点已设置明显标识。标志的设置符合《环境保护图形标志排放口》(GB15562.1-1995)及《环境保护图形标志固体废物贮存（处置）场》(GB15562.2-1995)中有关规定。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9" w:hRule="atLeast"/>
              </w:trPr>
              <w:tc>
                <w:tcPr>
                  <w:tcW w:w="9249" w:type="dxa"/>
                </w:tcPr>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pacing w:val="0"/>
                      <w:sz w:val="24"/>
                      <w:szCs w:val="24"/>
                      <w:vertAlign w:val="baseline"/>
                      <w:lang w:val="en-US" w:eastAsia="zh-CN"/>
                    </w:rPr>
                  </w:pPr>
                  <w:r>
                    <w:rPr>
                      <w:sz w:val="24"/>
                    </w:rPr>
                    <mc:AlternateContent>
                      <mc:Choice Requires="wps">
                        <w:drawing>
                          <wp:anchor distT="0" distB="0" distL="114300" distR="114300" simplePos="0" relativeHeight="251680768" behindDoc="0" locked="0" layoutInCell="1" allowOverlap="1">
                            <wp:simplePos x="0" y="0"/>
                            <wp:positionH relativeFrom="column">
                              <wp:posOffset>1037590</wp:posOffset>
                            </wp:positionH>
                            <wp:positionV relativeFrom="paragraph">
                              <wp:posOffset>1710055</wp:posOffset>
                            </wp:positionV>
                            <wp:extent cx="1429385" cy="32194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429385" cy="321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废气排放标识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7pt;margin-top:134.65pt;height:25.35pt;width:112.55pt;z-index:251680768;mso-width-relative:page;mso-height-relative:page;" filled="f" stroked="f" coordsize="21600,21600" o:gfxdata="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UmDfLaAAAACwEAAA8AAAAAAAAAAQAgAAAAIgAAAGRy&#10;cy9kb3ducmV2LnhtbFBLAQIUABQAAAAIAIdO4kDje2KePAIAAGgEAAAOAAAAAAAAAAEAIAAAACkB&#10;AABkcnMvZTJvRG9jLnhtbFBLBQYAAAAABgAGAFkBAADX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废气排放标识</w:t>
                                  </w:r>
                                </w:p>
                              </w:txbxContent>
                            </v:textbox>
                          </v:shape>
                        </w:pict>
                      </mc:Fallback>
                    </mc:AlternateContent>
                  </w:r>
                  <w:r>
                    <w:rPr>
                      <w:rFonts w:hint="eastAsia" w:ascii="宋体" w:hAnsi="宋体" w:eastAsia="宋体" w:cs="宋体"/>
                      <w:color w:val="auto"/>
                      <w:spacing w:val="0"/>
                      <w:sz w:val="24"/>
                      <w:szCs w:val="24"/>
                      <w:vertAlign w:val="baseline"/>
                      <w:lang w:val="en-US" w:eastAsia="zh-CN"/>
                    </w:rPr>
                    <w:drawing>
                      <wp:inline distT="0" distB="0" distL="114300" distR="114300">
                        <wp:extent cx="3660775" cy="2113280"/>
                        <wp:effectExtent l="0" t="0" r="12065" b="5080"/>
                        <wp:docPr id="66" name="图片 66" descr="e132a3d5e7aa3d9c85cd71b173ce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132a3d5e7aa3d9c85cd71b173ceafd"/>
                                <pic:cNvPicPr>
                                  <a:picLocks noChangeAspect="1"/>
                                </pic:cNvPicPr>
                              </pic:nvPicPr>
                              <pic:blipFill>
                                <a:blip r:embed="rId41"/>
                                <a:stretch>
                                  <a:fillRect/>
                                </a:stretch>
                              </pic:blipFill>
                              <pic:spPr>
                                <a:xfrm>
                                  <a:off x="0" y="0"/>
                                  <a:ext cx="3660775" cy="2113280"/>
                                </a:xfrm>
                                <a:prstGeom prst="rect">
                                  <a:avLst/>
                                </a:prstGeom>
                              </pic:spPr>
                            </pic:pic>
                          </a:graphicData>
                        </a:graphic>
                      </wp:inline>
                    </w:drawing>
                  </w:r>
                </w:p>
              </w:tc>
            </w:tr>
          </w:tbl>
          <w:p>
            <w:pPr>
              <w:pStyle w:val="5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spacing w:val="0"/>
                <w:sz w:val="24"/>
                <w:szCs w:val="24"/>
                <w:lang w:val="en-US" w:eastAsia="zh-CN"/>
              </w:rPr>
            </w:pPr>
          </w:p>
        </w:tc>
      </w:tr>
    </w:tbl>
    <w:p>
      <w:pPr>
        <w:rPr>
          <w:rFonts w:hint="eastAsia" w:ascii="宋体" w:hAnsi="宋体" w:eastAsia="宋体" w:cs="宋体"/>
          <w:b/>
          <w:sz w:val="30"/>
          <w:szCs w:val="30"/>
        </w:rPr>
        <w:sectPr>
          <w:footerReference r:id="rId10" w:type="default"/>
          <w:pgSz w:w="11906" w:h="16838"/>
          <w:pgMar w:top="1077" w:right="1440" w:bottom="1077" w:left="1440" w:header="709" w:footer="709" w:gutter="0"/>
          <w:pgBorders>
            <w:top w:val="none" w:sz="0" w:space="0"/>
            <w:left w:val="none" w:sz="0" w:space="0"/>
            <w:bottom w:val="none" w:sz="0" w:space="0"/>
            <w:right w:val="none" w:sz="0" w:space="0"/>
          </w:pgBorders>
          <w:pgNumType w:fmt="decimal"/>
          <w:cols w:space="720" w:num="1"/>
          <w:docGrid w:linePitch="360" w:charSpace="0"/>
        </w:sectPr>
      </w:pPr>
    </w:p>
    <w:p>
      <w:pPr>
        <w:rPr>
          <w:rFonts w:hint="eastAsia" w:ascii="宋体" w:hAnsi="宋体" w:eastAsia="宋体" w:cs="宋体"/>
          <w:b/>
          <w:color w:val="auto"/>
          <w:sz w:val="30"/>
          <w:szCs w:val="30"/>
        </w:rPr>
      </w:pPr>
      <w:r>
        <w:rPr>
          <w:rFonts w:hint="eastAsia" w:ascii="宋体" w:hAnsi="宋体" w:eastAsia="宋体" w:cs="宋体"/>
          <w:b/>
          <w:color w:val="auto"/>
          <w:sz w:val="30"/>
          <w:szCs w:val="30"/>
        </w:rPr>
        <w:t>表四</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25" w:hRule="atLeast"/>
          <w:jc w:val="center"/>
        </w:trPr>
        <w:tc>
          <w:tcPr>
            <w:tcW w:w="9465" w:type="dxa"/>
            <w:noWrap w:val="0"/>
            <w:vAlign w:val="top"/>
          </w:tcPr>
          <w:p>
            <w:pPr>
              <w:keepNext w:val="0"/>
              <w:keepLines w:val="0"/>
              <w:pageBreakBefore w:val="0"/>
              <w:widowControl w:val="0"/>
              <w:kinsoku/>
              <w:wordWrap/>
              <w:overflowPunct/>
              <w:topLinePunct w:val="0"/>
              <w:autoSpaceDE/>
              <w:autoSpaceDN/>
              <w:bidi w:val="0"/>
              <w:adjustRightInd w:val="0"/>
              <w:snapToGrid/>
              <w:spacing w:after="0" w:line="360" w:lineRule="auto"/>
              <w:textAlignment w:val="auto"/>
              <w:rPr>
                <w:rFonts w:hint="eastAsia" w:ascii="宋体" w:hAnsi="宋体" w:eastAsia="宋体" w:cs="宋体"/>
                <w:b/>
                <w:bCs/>
                <w:color w:val="auto"/>
                <w:sz w:val="24"/>
              </w:rPr>
            </w:pPr>
            <w:r>
              <w:rPr>
                <w:rFonts w:hint="eastAsia" w:ascii="宋体" w:hAnsi="宋体" w:eastAsia="宋体" w:cs="宋体"/>
                <w:b/>
                <w:bCs/>
                <w:color w:val="auto"/>
                <w:sz w:val="24"/>
              </w:rPr>
              <w:t>建设项目环境影响报告表主要结论及审批部门审批决定：</w:t>
            </w:r>
          </w:p>
          <w:p>
            <w:pPr>
              <w:keepNext w:val="0"/>
              <w:keepLines w:val="0"/>
              <w:pageBreakBefore w:val="0"/>
              <w:widowControl w:val="0"/>
              <w:kinsoku/>
              <w:wordWrap/>
              <w:overflowPunct/>
              <w:topLinePunct w:val="0"/>
              <w:autoSpaceDE/>
              <w:autoSpaceDN/>
              <w:bidi w:val="0"/>
              <w:adjustRightInd w:val="0"/>
              <w:snapToGrid/>
              <w:spacing w:after="0" w:line="360" w:lineRule="auto"/>
              <w:textAlignment w:val="auto"/>
              <w:rPr>
                <w:rFonts w:hint="eastAsia" w:ascii="宋体" w:hAnsi="宋体" w:eastAsia="宋体" w:cs="宋体"/>
                <w:b/>
                <w:bCs/>
                <w:color w:val="auto"/>
                <w:sz w:val="24"/>
              </w:rPr>
            </w:pPr>
            <w:r>
              <w:rPr>
                <w:rFonts w:hint="eastAsia" w:ascii="宋体" w:hAnsi="宋体" w:eastAsia="宋体" w:cs="宋体"/>
                <w:b/>
                <w:bCs/>
                <w:color w:val="auto"/>
                <w:sz w:val="24"/>
                <w:lang w:eastAsia="zh-CN"/>
              </w:rPr>
              <w:t>一、</w:t>
            </w:r>
            <w:r>
              <w:rPr>
                <w:rFonts w:hint="eastAsia" w:ascii="宋体" w:hAnsi="宋体" w:eastAsia="宋体" w:cs="宋体"/>
                <w:b/>
                <w:bCs/>
                <w:color w:val="auto"/>
                <w:sz w:val="24"/>
              </w:rPr>
              <w:t>建设项目环评报告表的主要结论与建议</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rPr>
              <w:t>结论：</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1、项目概况</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项目名称：扩建机动车维修拆解行业危险废物收集存储项目。</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建设性质：扩建。</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建设单位：保定绿源环保服务有限公司。</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建设地点：蠡县蠡吾镇北漳村西北。</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建设内容：本项目总占地面积 800m</w:t>
            </w:r>
            <w:r>
              <w:rPr>
                <w:rFonts w:hint="default"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，建设仓库 500m</w:t>
            </w:r>
            <w:r>
              <w:rPr>
                <w:rFonts w:hint="default"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建设规模：危险废物年总收集量 40000 吨。</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主要来源、类别及储运：本项目主要收集保定周边区域、定州、雄安新区内各4S店及汽车修理厂、机动车拆解行业等维修、拆解车辆产生的危废，主要</w:t>
            </w:r>
            <w:r>
              <w:rPr>
                <w:rFonts w:hint="default" w:ascii="Times New Roman" w:hAnsi="Times New Roman" w:eastAsia="宋体" w:cs="Times New Roman"/>
                <w:color w:val="auto"/>
                <w:spacing w:val="-2"/>
                <w:sz w:val="24"/>
                <w:szCs w:val="24"/>
              </w:rPr>
              <w:t>包括：</w:t>
            </w:r>
            <w:r>
              <w:rPr>
                <w:rFonts w:hint="default" w:ascii="Times New Roman" w:hAnsi="Times New Roman" w:eastAsia="宋体" w:cs="Times New Roman"/>
                <w:color w:val="auto"/>
                <w:spacing w:val="-4"/>
                <w:sz w:val="24"/>
                <w:szCs w:val="24"/>
              </w:rPr>
              <w:t>HW08</w:t>
            </w:r>
            <w:r>
              <w:rPr>
                <w:rFonts w:hint="default" w:ascii="Times New Roman" w:hAnsi="Times New Roman" w:eastAsia="宋体" w:cs="Times New Roman"/>
                <w:color w:val="auto"/>
                <w:sz w:val="24"/>
                <w:szCs w:val="24"/>
              </w:rPr>
              <w:t>废矿物油与含矿物油废物900-199-08</w:t>
            </w:r>
            <w:r>
              <w:rPr>
                <w:rFonts w:hint="default" w:ascii="Times New Roman" w:hAnsi="Times New Roman" w:eastAsia="宋体" w:cs="Times New Roman"/>
                <w:color w:val="auto"/>
                <w:spacing w:val="-12"/>
                <w:sz w:val="24"/>
                <w:szCs w:val="24"/>
              </w:rPr>
              <w:t>、</w:t>
            </w:r>
            <w:r>
              <w:rPr>
                <w:rFonts w:hint="default" w:ascii="Times New Roman" w:hAnsi="Times New Roman" w:eastAsia="宋体" w:cs="Times New Roman"/>
                <w:color w:val="auto"/>
                <w:sz w:val="24"/>
                <w:szCs w:val="24"/>
              </w:rPr>
              <w:t>900-249-08；HW10</w:t>
            </w:r>
            <w:r>
              <w:rPr>
                <w:rFonts w:hint="default" w:ascii="Times New Roman" w:hAnsi="Times New Roman" w:eastAsia="宋体" w:cs="Times New Roman"/>
                <w:color w:val="auto"/>
                <w:spacing w:val="-6"/>
                <w:sz w:val="24"/>
                <w:szCs w:val="24"/>
              </w:rPr>
              <w:t>多氯</w:t>
            </w:r>
            <w:r>
              <w:rPr>
                <w:rFonts w:hint="default" w:ascii="Times New Roman" w:hAnsi="Times New Roman" w:eastAsia="宋体" w:cs="Times New Roman"/>
                <w:color w:val="auto"/>
                <w:sz w:val="24"/>
                <w:szCs w:val="24"/>
              </w:rPr>
              <w:t>（溴</w:t>
            </w:r>
            <w:r>
              <w:rPr>
                <w:rFonts w:hint="default" w:ascii="Times New Roman" w:hAnsi="Times New Roman" w:eastAsia="宋体" w:cs="Times New Roman"/>
                <w:color w:val="auto"/>
                <w:spacing w:val="-11"/>
                <w:sz w:val="24"/>
                <w:szCs w:val="24"/>
              </w:rPr>
              <w:t>）</w:t>
            </w:r>
            <w:r>
              <w:rPr>
                <w:rFonts w:hint="default" w:ascii="Times New Roman" w:hAnsi="Times New Roman" w:eastAsia="宋体" w:cs="Times New Roman"/>
                <w:color w:val="auto"/>
                <w:sz w:val="24"/>
                <w:szCs w:val="24"/>
              </w:rPr>
              <w:t>联</w:t>
            </w:r>
            <w:r>
              <w:rPr>
                <w:rFonts w:hint="default" w:ascii="Times New Roman" w:hAnsi="Times New Roman" w:eastAsia="宋体" w:cs="Times New Roman"/>
                <w:color w:val="auto"/>
                <w:spacing w:val="3"/>
                <w:sz w:val="24"/>
                <w:szCs w:val="24"/>
              </w:rPr>
              <w:t xml:space="preserve">苯类 </w:t>
            </w:r>
            <w:r>
              <w:rPr>
                <w:rFonts w:hint="default" w:ascii="Times New Roman" w:hAnsi="Times New Roman" w:eastAsia="宋体" w:cs="Times New Roman"/>
                <w:color w:val="auto"/>
                <w:spacing w:val="-4"/>
                <w:sz w:val="24"/>
                <w:szCs w:val="24"/>
              </w:rPr>
              <w:t>900-008-10；HW12染料、涂料废物 900-252-12；HW15</w:t>
            </w:r>
            <w:r>
              <w:rPr>
                <w:rFonts w:hint="default" w:ascii="Times New Roman" w:hAnsi="Times New Roman" w:eastAsia="宋体" w:cs="Times New Roman"/>
                <w:color w:val="auto"/>
                <w:sz w:val="24"/>
                <w:szCs w:val="24"/>
              </w:rPr>
              <w:t>爆炸性废物900-018-15；HW29含汞废物900-023-29；HW36石棉废物900-032-36；HW49其他废物900-041-49、900-044-49、900-045-49；HW50废催化剂900-049-50。本项目年收集、暂存上述危废40000吨，最大暂存量为134t，最长暂存时间为4天。</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6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 xml:space="preserve">项目投资与环保投资：项目总投资 </w:t>
            </w:r>
            <w:r>
              <w:rPr>
                <w:rFonts w:hint="default" w:ascii="Times New Roman" w:hAnsi="Times New Roman" w:eastAsia="宋体" w:cs="Times New Roman"/>
                <w:color w:val="auto"/>
                <w:sz w:val="24"/>
                <w:szCs w:val="24"/>
              </w:rPr>
              <w:t xml:space="preserve">600 </w:t>
            </w:r>
            <w:r>
              <w:rPr>
                <w:rFonts w:hint="default" w:ascii="Times New Roman" w:hAnsi="Times New Roman" w:eastAsia="宋体" w:cs="Times New Roman"/>
                <w:color w:val="auto"/>
                <w:spacing w:val="-8"/>
                <w:sz w:val="24"/>
                <w:szCs w:val="24"/>
              </w:rPr>
              <w:t xml:space="preserve">万元，其中环保投资 </w:t>
            </w:r>
            <w:r>
              <w:rPr>
                <w:rFonts w:hint="default" w:ascii="Times New Roman" w:hAnsi="Times New Roman" w:eastAsia="宋体" w:cs="Times New Roman"/>
                <w:color w:val="auto"/>
                <w:sz w:val="24"/>
                <w:szCs w:val="24"/>
              </w:rPr>
              <w:t xml:space="preserve">30 </w:t>
            </w:r>
            <w:r>
              <w:rPr>
                <w:rFonts w:hint="default" w:ascii="Times New Roman" w:hAnsi="Times New Roman" w:eastAsia="宋体" w:cs="Times New Roman"/>
                <w:color w:val="auto"/>
                <w:spacing w:val="-2"/>
                <w:sz w:val="24"/>
                <w:szCs w:val="24"/>
              </w:rPr>
              <w:t>万元，占项目总</w:t>
            </w:r>
            <w:r>
              <w:rPr>
                <w:rFonts w:hint="default" w:ascii="Times New Roman" w:hAnsi="Times New Roman" w:eastAsia="宋体" w:cs="Times New Roman"/>
                <w:color w:val="auto"/>
                <w:spacing w:val="-22"/>
                <w:sz w:val="24"/>
                <w:szCs w:val="24"/>
              </w:rPr>
              <w:t xml:space="preserve">投资 </w:t>
            </w:r>
            <w:r>
              <w:rPr>
                <w:rFonts w:hint="default" w:ascii="Times New Roman" w:hAnsi="Times New Roman" w:eastAsia="宋体" w:cs="Times New Roman"/>
                <w:color w:val="auto"/>
                <w:sz w:val="24"/>
                <w:szCs w:val="24"/>
              </w:rPr>
              <w:t>5%。</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2、项目选址合理性结论</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3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rPr>
              <w:t xml:space="preserve">项目选址位于蠡县蠡吾镇北漳村西北，中心地理位置坐标为：东经 </w:t>
            </w:r>
            <w:r>
              <w:rPr>
                <w:rFonts w:hint="default" w:ascii="Times New Roman" w:hAnsi="Times New Roman" w:eastAsia="宋体" w:cs="Times New Roman"/>
                <w:color w:val="auto"/>
                <w:sz w:val="24"/>
                <w:szCs w:val="24"/>
              </w:rPr>
              <w:t>115°36′9.05″，</w:t>
            </w:r>
            <w:r>
              <w:rPr>
                <w:rFonts w:hint="default" w:ascii="Times New Roman" w:hAnsi="Times New Roman" w:eastAsia="宋体" w:cs="Times New Roman"/>
                <w:color w:val="auto"/>
                <w:spacing w:val="-22"/>
                <w:sz w:val="24"/>
                <w:szCs w:val="24"/>
              </w:rPr>
              <w:t xml:space="preserve">北纬 </w:t>
            </w:r>
            <w:r>
              <w:rPr>
                <w:rFonts w:hint="default" w:ascii="Times New Roman" w:hAnsi="Times New Roman" w:eastAsia="宋体" w:cs="Times New Roman"/>
                <w:color w:val="auto"/>
                <w:sz w:val="24"/>
                <w:szCs w:val="24"/>
              </w:rPr>
              <w:t>38°31′9.72″</w:t>
            </w:r>
            <w:r>
              <w:rPr>
                <w:rFonts w:hint="default" w:ascii="Times New Roman" w:hAnsi="Times New Roman" w:eastAsia="宋体" w:cs="Times New Roman"/>
                <w:color w:val="auto"/>
                <w:spacing w:val="-13"/>
                <w:sz w:val="24"/>
                <w:szCs w:val="24"/>
              </w:rPr>
              <w:t xml:space="preserve">。项目西侧临 </w:t>
            </w:r>
            <w:r>
              <w:rPr>
                <w:rFonts w:hint="default" w:ascii="Times New Roman" w:hAnsi="Times New Roman" w:eastAsia="宋体" w:cs="Times New Roman"/>
                <w:color w:val="auto"/>
                <w:sz w:val="24"/>
                <w:szCs w:val="24"/>
              </w:rPr>
              <w:t xml:space="preserve">S235 </w:t>
            </w:r>
            <w:r>
              <w:rPr>
                <w:rFonts w:hint="default" w:ascii="Times New Roman" w:hAnsi="Times New Roman" w:eastAsia="宋体" w:cs="Times New Roman"/>
                <w:color w:val="auto"/>
                <w:spacing w:val="-5"/>
                <w:sz w:val="24"/>
                <w:szCs w:val="24"/>
              </w:rPr>
              <w:t>省道，北侧和东侧与康博扣板厂相邻，南侧为东</w:t>
            </w:r>
            <w:r>
              <w:rPr>
                <w:rFonts w:hint="default" w:ascii="Times New Roman" w:hAnsi="Times New Roman" w:eastAsia="宋体" w:cs="Times New Roman"/>
                <w:color w:val="auto"/>
                <w:spacing w:val="-8"/>
                <w:sz w:val="24"/>
                <w:szCs w:val="24"/>
              </w:rPr>
              <w:t xml:space="preserve">泰仓储物流公司。距离厂址最近的环境敏感目标为厂区东南 </w:t>
            </w:r>
            <w:r>
              <w:rPr>
                <w:rFonts w:hint="default" w:ascii="Times New Roman" w:hAnsi="Times New Roman" w:eastAsia="宋体" w:cs="Times New Roman"/>
                <w:color w:val="auto"/>
                <w:sz w:val="24"/>
                <w:szCs w:val="24"/>
              </w:rPr>
              <w:t>410 米处的北漳村。</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36"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rPr>
              <w:t>项目选址能够满足《危险废物贮存污染控制标准》</w:t>
            </w:r>
            <w:r>
              <w:rPr>
                <w:rFonts w:hint="default" w:ascii="Times New Roman" w:hAnsi="Times New Roman" w:eastAsia="宋体" w:cs="Times New Roman"/>
                <w:color w:val="auto"/>
                <w:sz w:val="24"/>
                <w:szCs w:val="24"/>
              </w:rPr>
              <w:t>(GB18597-2001)及修改单中相关选址要求；项目厂址附近无自然保护区、风景名胜区、文物保护单位和珍稀濒危动植物等环境敏感点。本项目的选址可行。</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3、产业政策符合性结论</w:t>
            </w:r>
          </w:p>
          <w:p>
            <w:pPr>
              <w:keepNext w:val="0"/>
              <w:keepLines w:val="0"/>
              <w:pageBreakBefore w:val="0"/>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color w:val="auto"/>
                <w:sz w:val="24"/>
                <w:lang w:eastAsia="zh-CN"/>
              </w:rPr>
            </w:pPr>
            <w:r>
              <w:rPr>
                <w:rFonts w:hint="default" w:ascii="Times New Roman" w:hAnsi="Times New Roman" w:eastAsia="宋体" w:cs="Times New Roman"/>
                <w:color w:val="auto"/>
                <w:spacing w:val="-15"/>
                <w:sz w:val="24"/>
                <w:szCs w:val="24"/>
              </w:rPr>
              <w:t>根据《国民经济行业分类》</w:t>
            </w:r>
            <w:r>
              <w:rPr>
                <w:rFonts w:hint="default" w:ascii="Times New Roman" w:hAnsi="Times New Roman" w:eastAsia="宋体" w:cs="Times New Roman"/>
                <w:color w:val="auto"/>
                <w:spacing w:val="-8"/>
                <w:sz w:val="24"/>
                <w:szCs w:val="24"/>
              </w:rPr>
              <w:t>（GB4754/2017）</w:t>
            </w:r>
            <w:r>
              <w:rPr>
                <w:rFonts w:hint="default" w:ascii="Times New Roman" w:hAnsi="Times New Roman" w:eastAsia="宋体" w:cs="Times New Roman"/>
                <w:color w:val="auto"/>
                <w:spacing w:val="-13"/>
                <w:sz w:val="24"/>
                <w:szCs w:val="24"/>
              </w:rPr>
              <w:t xml:space="preserve">，本项目为 </w:t>
            </w:r>
            <w:r>
              <w:rPr>
                <w:rFonts w:hint="default" w:ascii="Times New Roman" w:hAnsi="Times New Roman" w:eastAsia="宋体" w:cs="Times New Roman"/>
                <w:color w:val="auto"/>
                <w:sz w:val="24"/>
                <w:szCs w:val="24"/>
              </w:rPr>
              <w:t>G5949 其他危险品仓储，项目采用的储存工艺、设备等均未列入《产业结构调整指导目录（2019 年本）》鼓励类、限</w:t>
            </w:r>
          </w:p>
        </w:tc>
      </w:tr>
    </w:tbl>
    <w:p>
      <w:pPr>
        <w:spacing w:after="0" w:line="360" w:lineRule="auto"/>
        <w:rPr>
          <w:rFonts w:ascii="Times New Roman" w:cs="Times New Roman" w:hAnsiTheme="minorEastAsia" w:eastAsiaTheme="minorEastAsia"/>
          <w:b/>
          <w:color w:val="FF0000"/>
          <w:sz w:val="28"/>
          <w:szCs w:val="28"/>
        </w:rPr>
        <w:sectPr>
          <w:pgSz w:w="11906" w:h="16838"/>
          <w:pgMar w:top="1077" w:right="1440" w:bottom="1077" w:left="1440" w:header="709" w:footer="709" w:gutter="0"/>
          <w:pgBorders>
            <w:top w:val="none" w:sz="0" w:space="0"/>
            <w:left w:val="none" w:sz="0" w:space="0"/>
            <w:bottom w:val="none" w:sz="0" w:space="0"/>
            <w:right w:val="none" w:sz="0" w:space="0"/>
          </w:pgBorders>
          <w:pgNumType w:fmt="decimal"/>
          <w:cols w:space="720" w:num="1"/>
          <w:docGrid w:linePitch="360" w:charSpace="0"/>
        </w:sectPr>
      </w:pPr>
    </w:p>
    <w:p>
      <w:pPr>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表四</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jc w:val="center"/>
        </w:trPr>
        <w:tc>
          <w:tcPr>
            <w:tcW w:w="9465" w:type="dxa"/>
            <w:noWrap w:val="0"/>
            <w:vAlign w:val="top"/>
          </w:tcPr>
          <w:p>
            <w:pPr>
              <w:pStyle w:val="7"/>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制及淘汰类项目，为允许类项目；该项目亦不属于《河北省新增限制和淘汰类产业目录》（2015 版）中限制与淘汰类项目，为河北省允许类项目；蠡县发展改革局以蠡县发改备字[2020]032 号对本项目予以备案。项目建设符合国家及地方现行产业政策要求。</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4、环境质量现状结论</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项目所在区域环境质量现状环境空气不满足《环境空气质量标准》（</w:t>
            </w:r>
            <w:r>
              <w:rPr>
                <w:rFonts w:hint="default" w:ascii="Times New Roman" w:hAnsi="Times New Roman" w:eastAsia="宋体" w:cs="Times New Roman"/>
                <w:color w:val="auto"/>
                <w:spacing w:val="-61"/>
                <w:sz w:val="24"/>
                <w:szCs w:val="24"/>
              </w:rPr>
              <w:t xml:space="preserve"> </w:t>
            </w:r>
            <w:r>
              <w:rPr>
                <w:rFonts w:hint="default" w:ascii="Times New Roman" w:hAnsi="Times New Roman" w:eastAsia="宋体" w:cs="Times New Roman"/>
                <w:color w:val="auto"/>
                <w:sz w:val="24"/>
                <w:szCs w:val="24"/>
              </w:rPr>
              <w:t xml:space="preserve">GB3095-2012 </w:t>
            </w:r>
            <w:r>
              <w:rPr>
                <w:rFonts w:hint="default" w:ascii="Times New Roman" w:hAnsi="Times New Roman" w:eastAsia="宋体" w:cs="Times New Roman"/>
                <w:color w:val="auto"/>
                <w:spacing w:val="52"/>
                <w:sz w:val="24"/>
                <w:szCs w:val="24"/>
              </w:rPr>
              <w:t>）</w:t>
            </w:r>
            <w:r>
              <w:rPr>
                <w:rFonts w:hint="default" w:ascii="Times New Roman" w:hAnsi="Times New Roman" w:eastAsia="宋体" w:cs="Times New Roman"/>
                <w:color w:val="auto"/>
                <w:spacing w:val="50"/>
                <w:sz w:val="24"/>
                <w:szCs w:val="24"/>
              </w:rPr>
              <w:t>二级标准要求，地下水水质符合《地下水质量标准》</w:t>
            </w:r>
            <w:r>
              <w:rPr>
                <w:rFonts w:hint="default" w:ascii="Times New Roman" w:hAnsi="Times New Roman" w:eastAsia="宋体" w:cs="Times New Roman"/>
                <w:color w:val="auto"/>
                <w:spacing w:val="-66"/>
                <w:sz w:val="24"/>
                <w:szCs w:val="24"/>
                <w:lang w:eastAsia="zh-CN"/>
              </w:rPr>
              <w:t>（</w:t>
            </w:r>
            <w:r>
              <w:rPr>
                <w:rFonts w:hint="default" w:ascii="Times New Roman" w:hAnsi="Times New Roman" w:eastAsia="宋体" w:cs="Times New Roman"/>
                <w:color w:val="auto"/>
                <w:sz w:val="24"/>
                <w:szCs w:val="24"/>
              </w:rPr>
              <w:t>（GB/T14848-2017）Ⅲ类标准要求，声环境满足《声环境质量标准》（GB3096-2008）2 类标准要求，土壤质量满足《土壤环境质量 建设用地土壤污染风险管控标准（试行</w:t>
            </w:r>
            <w:r>
              <w:rPr>
                <w:rFonts w:hint="default" w:ascii="Times New Roman" w:hAnsi="Times New Roman" w:eastAsia="宋体" w:cs="Times New Roman"/>
                <w:color w:val="auto"/>
                <w:spacing w:val="-16"/>
                <w:sz w:val="24"/>
                <w:szCs w:val="24"/>
              </w:rPr>
              <w:t>）</w:t>
            </w:r>
            <w:r>
              <w:rPr>
                <w:rFonts w:hint="default" w:ascii="Times New Roman" w:hAnsi="Times New Roman" w:eastAsia="宋体" w:cs="Times New Roman"/>
                <w:color w:val="auto"/>
                <w:spacing w:val="-30"/>
                <w:sz w:val="24"/>
                <w:szCs w:val="24"/>
              </w:rPr>
              <w:t>》</w:t>
            </w:r>
            <w:r>
              <w:rPr>
                <w:rFonts w:hint="default" w:ascii="Times New Roman" w:hAnsi="Times New Roman" w:eastAsia="宋体" w:cs="Times New Roman"/>
                <w:color w:val="auto"/>
                <w:sz w:val="24"/>
                <w:szCs w:val="24"/>
              </w:rPr>
              <w:t>（GB36600-2018）</w:t>
            </w:r>
            <w:r>
              <w:rPr>
                <w:rFonts w:hint="default" w:ascii="Times New Roman" w:hAnsi="Times New Roman" w:eastAsia="宋体" w:cs="Times New Roman"/>
                <w:color w:val="auto"/>
                <w:spacing w:val="-34"/>
                <w:sz w:val="24"/>
                <w:szCs w:val="24"/>
              </w:rPr>
              <w:t xml:space="preserve">表 </w:t>
            </w:r>
            <w:r>
              <w:rPr>
                <w:rFonts w:hint="default" w:ascii="Times New Roman" w:hAnsi="Times New Roman" w:eastAsia="宋体" w:cs="Times New Roman"/>
                <w:color w:val="auto"/>
                <w:sz w:val="24"/>
                <w:szCs w:val="24"/>
              </w:rPr>
              <w:t xml:space="preserve">1 </w:t>
            </w:r>
            <w:r>
              <w:rPr>
                <w:rFonts w:hint="default" w:ascii="Times New Roman" w:hAnsi="Times New Roman" w:eastAsia="宋体" w:cs="Times New Roman"/>
                <w:color w:val="auto"/>
                <w:spacing w:val="-3"/>
                <w:sz w:val="24"/>
                <w:szCs w:val="24"/>
              </w:rPr>
              <w:t>中第二类用地筛选值标准和《土壤环境质量 农用地土</w:t>
            </w:r>
            <w:r>
              <w:rPr>
                <w:rFonts w:hint="default" w:ascii="Times New Roman" w:hAnsi="Times New Roman" w:eastAsia="宋体" w:cs="Times New Roman"/>
                <w:color w:val="auto"/>
                <w:spacing w:val="-4"/>
                <w:sz w:val="24"/>
                <w:szCs w:val="24"/>
              </w:rPr>
              <w:t>壤污染风险管控标准</w:t>
            </w:r>
            <w:r>
              <w:rPr>
                <w:rFonts w:hint="default" w:ascii="Times New Roman" w:hAnsi="Times New Roman" w:eastAsia="宋体" w:cs="Times New Roman"/>
                <w:color w:val="auto"/>
                <w:sz w:val="24"/>
                <w:szCs w:val="24"/>
              </w:rPr>
              <w:t>（试行</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6"/>
                <w:sz w:val="24"/>
                <w:szCs w:val="24"/>
              </w:rPr>
              <w:t>》</w:t>
            </w:r>
            <w:r>
              <w:rPr>
                <w:rFonts w:hint="default" w:ascii="Times New Roman" w:hAnsi="Times New Roman" w:eastAsia="宋体" w:cs="Times New Roman"/>
                <w:color w:val="auto"/>
                <w:sz w:val="24"/>
                <w:szCs w:val="24"/>
              </w:rPr>
              <w:t>（GB15618-2018）</w:t>
            </w:r>
            <w:r>
              <w:rPr>
                <w:rFonts w:hint="default" w:ascii="Times New Roman" w:hAnsi="Times New Roman" w:eastAsia="宋体" w:cs="Times New Roman"/>
                <w:color w:val="auto"/>
                <w:spacing w:val="-32"/>
                <w:sz w:val="24"/>
                <w:szCs w:val="24"/>
              </w:rPr>
              <w:t xml:space="preserve">表 </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z w:val="24"/>
                <w:szCs w:val="24"/>
              </w:rPr>
              <w:t>农用地土壤污染风险筛选值中的标准要求。</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5、施工期环境影响分析结论</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间对周围环境将产生一定的影响，主要包括施工扬尘和施工机械噪声对周边环境空气和声环境的污染影响，施工人员产生的生活污水对水环境的不利影响，以及施工期间产生的建筑垃圾和生活垃圾对周边环境产生的二次污染影响。在采用相应的污染防治措施后项目施工不会对周边环境产生明显污染影响。项目施工期的影响是短暂的，将随着施工期的结束而消失。</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6、运营期环境影响分析结论</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（1）大气环境影响分析结论</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4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0"/>
                <w:sz w:val="24"/>
                <w:szCs w:val="24"/>
              </w:rPr>
              <w:t xml:space="preserve">本项目除 </w:t>
            </w:r>
            <w:r>
              <w:rPr>
                <w:rFonts w:hint="default" w:ascii="Times New Roman" w:hAnsi="Times New Roman" w:eastAsia="宋体" w:cs="Times New Roman"/>
                <w:color w:val="auto"/>
                <w:sz w:val="24"/>
                <w:szCs w:val="24"/>
              </w:rPr>
              <w:t>HW08 类废物外，其他类别废物均不拆包装，不倒罐。项目所产生的</w:t>
            </w:r>
            <w:r>
              <w:rPr>
                <w:rFonts w:hint="default" w:ascii="Times New Roman" w:hAnsi="Times New Roman" w:eastAsia="宋体" w:cs="Times New Roman"/>
                <w:color w:val="auto"/>
                <w:spacing w:val="-11"/>
                <w:sz w:val="24"/>
                <w:szCs w:val="24"/>
              </w:rPr>
              <w:t xml:space="preserve">废气主要为 </w:t>
            </w:r>
            <w:r>
              <w:rPr>
                <w:rFonts w:hint="default" w:ascii="Times New Roman" w:hAnsi="Times New Roman" w:eastAsia="宋体" w:cs="Times New Roman"/>
                <w:color w:val="auto"/>
                <w:sz w:val="24"/>
                <w:szCs w:val="24"/>
              </w:rPr>
              <w:t xml:space="preserve">HW08 </w:t>
            </w:r>
            <w:r>
              <w:rPr>
                <w:rFonts w:hint="default" w:ascii="Times New Roman" w:hAnsi="Times New Roman" w:eastAsia="宋体" w:cs="Times New Roman"/>
                <w:color w:val="auto"/>
                <w:spacing w:val="-7"/>
                <w:sz w:val="24"/>
                <w:szCs w:val="24"/>
              </w:rPr>
              <w:t xml:space="preserve">储罐大小呼吸废气和 </w:t>
            </w:r>
            <w:r>
              <w:rPr>
                <w:rFonts w:hint="default" w:ascii="Times New Roman" w:hAnsi="Times New Roman" w:eastAsia="宋体" w:cs="Times New Roman"/>
                <w:color w:val="auto"/>
                <w:sz w:val="24"/>
                <w:szCs w:val="24"/>
              </w:rPr>
              <w:t>HW12 类、HW49 类危废暂存产生的废气。</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HW08 废气主要包括废矿物油储罐小呼吸有机废气和废矿物油储罐大呼吸及车载罐灌装有机废气，主要污染物为非甲烷总烃。项目拟将各储罐呼吸口延长，并连接至仓库区密闭管网，同时，对车载罐灌装口设置密闭集气罩，并连接至仓库区密</w:t>
            </w:r>
            <w:r>
              <w:rPr>
                <w:rFonts w:hint="default" w:ascii="Times New Roman" w:hAnsi="Times New Roman" w:eastAsia="宋体" w:cs="Times New Roman"/>
                <w:color w:val="auto"/>
                <w:spacing w:val="-6"/>
                <w:sz w:val="24"/>
                <w:szCs w:val="24"/>
              </w:rPr>
              <w:t xml:space="preserve">闭管网，废气经密闭管网收集后全部送入一套 </w:t>
            </w:r>
            <w:r>
              <w:rPr>
                <w:rFonts w:hint="default" w:ascii="Times New Roman" w:hAnsi="Times New Roman" w:eastAsia="宋体" w:cs="Times New Roman"/>
                <w:color w:val="auto"/>
                <w:sz w:val="24"/>
                <w:szCs w:val="24"/>
              </w:rPr>
              <w:t>UV 光氧+</w:t>
            </w:r>
            <w:r>
              <w:rPr>
                <w:rFonts w:hint="default" w:ascii="Times New Roman" w:hAnsi="Times New Roman" w:eastAsia="宋体" w:cs="Times New Roman"/>
                <w:color w:val="auto"/>
                <w:spacing w:val="-2"/>
                <w:sz w:val="24"/>
                <w:szCs w:val="24"/>
              </w:rPr>
              <w:t>两级活性炭吸附装置，废气</w:t>
            </w:r>
            <w:r>
              <w:rPr>
                <w:rFonts w:hint="default" w:ascii="Times New Roman" w:hAnsi="Times New Roman" w:eastAsia="宋体" w:cs="Times New Roman"/>
                <w:color w:val="auto"/>
                <w:spacing w:val="-10"/>
                <w:sz w:val="24"/>
                <w:szCs w:val="24"/>
              </w:rPr>
              <w:t xml:space="preserve">经净化处理后经 </w:t>
            </w:r>
            <w:r>
              <w:rPr>
                <w:rFonts w:hint="default" w:ascii="Times New Roman" w:hAnsi="Times New Roman" w:eastAsia="宋体" w:cs="Times New Roman"/>
                <w:color w:val="auto"/>
                <w:sz w:val="24"/>
                <w:szCs w:val="24"/>
              </w:rPr>
              <w:t xml:space="preserve">1 </w:t>
            </w:r>
            <w:r>
              <w:rPr>
                <w:rFonts w:hint="default" w:ascii="Times New Roman" w:hAnsi="Times New Roman" w:eastAsia="宋体" w:cs="Times New Roman"/>
                <w:color w:val="auto"/>
                <w:spacing w:val="-31"/>
                <w:sz w:val="24"/>
                <w:szCs w:val="24"/>
              </w:rPr>
              <w:t xml:space="preserve">根 </w:t>
            </w:r>
            <w:r>
              <w:rPr>
                <w:rFonts w:hint="default" w:ascii="Times New Roman" w:hAnsi="Times New Roman" w:eastAsia="宋体" w:cs="Times New Roman"/>
                <w:color w:val="auto"/>
                <w:sz w:val="24"/>
                <w:szCs w:val="24"/>
              </w:rPr>
              <w:t>15m 高排气筒排放。</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firstLine="440" w:firstLineChars="200"/>
              <w:textAlignment w:val="auto"/>
              <w:rPr>
                <w:rFonts w:hint="eastAsia"/>
                <w:color w:val="auto"/>
                <w:sz w:val="24"/>
                <w:lang w:eastAsia="zh-CN"/>
              </w:rPr>
            </w:pPr>
            <w:r>
              <w:rPr>
                <w:rFonts w:hint="eastAsia" w:ascii="Times New Roman" w:hAnsi="Times New Roman" w:eastAsia="宋体" w:cs="Times New Roman"/>
                <w:color w:val="auto"/>
                <w:spacing w:val="-10"/>
                <w:sz w:val="24"/>
                <w:szCs w:val="24"/>
                <w:lang w:eastAsia="zh-CN"/>
              </w:rPr>
              <w:t>项目 HW12、HW49 类（900-041-49）危险废物在贮存过程中会有废气产生。HW49类（900-041-49）危险废物来源众多，废气成分较为复杂，主要为吸附的各类有机废气，本环评以非甲烷总烃计。HW12 类主要产生甲苯、二甲苯和非甲烷总烃。HW12、HW49 类危险废物分别设置单独密闭的贮存间，仓库密闭，在隔间顶部设置集气管道，收集的废气采用</w:t>
            </w:r>
          </w:p>
        </w:tc>
      </w:tr>
    </w:tbl>
    <w:p>
      <w:pPr>
        <w:spacing w:after="0" w:line="360" w:lineRule="auto"/>
        <w:rPr>
          <w:rFonts w:hint="eastAsia" w:ascii="Times New Roman" w:cs="Times New Roman" w:hAnsiTheme="minorEastAsia" w:eastAsiaTheme="minorEastAsia"/>
          <w:b/>
          <w:color w:val="FF0000"/>
          <w:sz w:val="28"/>
          <w:szCs w:val="28"/>
          <w:lang w:eastAsia="zh-CN"/>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表四</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jc w:val="center"/>
        </w:trPr>
        <w:tc>
          <w:tcPr>
            <w:tcW w:w="9465" w:type="dxa"/>
            <w:noWrap w:val="0"/>
            <w:vAlign w:val="top"/>
          </w:tcPr>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UV 光氧+</w:t>
            </w:r>
            <w:r>
              <w:rPr>
                <w:rFonts w:hint="default" w:ascii="Times New Roman" w:hAnsi="Times New Roman" w:eastAsia="宋体" w:cs="Times New Roman"/>
                <w:color w:val="auto"/>
                <w:spacing w:val="-9"/>
                <w:sz w:val="24"/>
                <w:szCs w:val="24"/>
              </w:rPr>
              <w:t xml:space="preserve">两级活性炭吸附处理后，通过 </w:t>
            </w:r>
            <w:r>
              <w:rPr>
                <w:rFonts w:hint="default" w:ascii="Times New Roman" w:hAnsi="Times New Roman" w:eastAsia="宋体" w:cs="Times New Roman"/>
                <w:color w:val="auto"/>
                <w:sz w:val="24"/>
                <w:szCs w:val="24"/>
              </w:rPr>
              <w:t>15m 以上的排气筒高空排放。</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HW12 和 HW49 产生的有机废气经风机收集后与 HW08 废气，共同经 1 套 UV光氧+两级活性炭装置+15m 高排气筒排放。</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0"/>
                <w:sz w:val="24"/>
                <w:szCs w:val="24"/>
              </w:rPr>
              <w:t xml:space="preserve">通过分析，甲苯、二甲苯、非甲烷总烃排放速率分别为 </w:t>
            </w:r>
            <w:r>
              <w:rPr>
                <w:rFonts w:hint="default" w:ascii="Times New Roman" w:hAnsi="Times New Roman" w:eastAsia="宋体" w:cs="Times New Roman"/>
                <w:color w:val="auto"/>
                <w:sz w:val="24"/>
                <w:szCs w:val="24"/>
              </w:rPr>
              <w:t>0.00137kg/h</w:t>
            </w:r>
            <w:r>
              <w:rPr>
                <w:rFonts w:hint="default" w:ascii="Times New Roman" w:hAnsi="Times New Roman" w:eastAsia="宋体" w:cs="Times New Roman"/>
                <w:color w:val="auto"/>
                <w:spacing w:val="-84"/>
                <w:sz w:val="24"/>
                <w:szCs w:val="24"/>
              </w:rPr>
              <w:t>、</w:t>
            </w:r>
            <w:r>
              <w:rPr>
                <w:rFonts w:hint="default" w:ascii="Times New Roman" w:hAnsi="Times New Roman" w:eastAsia="宋体" w:cs="Times New Roman"/>
                <w:color w:val="auto"/>
                <w:sz w:val="24"/>
                <w:szCs w:val="24"/>
              </w:rPr>
              <w:t>0.00228kg/h、0.093kg/h</w:t>
            </w:r>
            <w:r>
              <w:rPr>
                <w:rFonts w:hint="default" w:ascii="Times New Roman" w:hAnsi="Times New Roman" w:eastAsia="宋体" w:cs="Times New Roman"/>
                <w:color w:val="auto"/>
                <w:spacing w:val="-8"/>
                <w:sz w:val="24"/>
                <w:szCs w:val="24"/>
              </w:rPr>
              <w:t xml:space="preserve">，排放浓度分别为 </w:t>
            </w:r>
            <w:r>
              <w:rPr>
                <w:rFonts w:hint="default" w:ascii="Times New Roman" w:hAnsi="Times New Roman" w:eastAsia="宋体" w:cs="Times New Roman"/>
                <w:color w:val="auto"/>
                <w:sz w:val="24"/>
                <w:szCs w:val="24"/>
              </w:rPr>
              <w:t>0.195mg/m</w:t>
            </w:r>
            <w:r>
              <w:rPr>
                <w:rFonts w:hint="eastAsia"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、0.326mg/m</w:t>
            </w:r>
            <w:r>
              <w:rPr>
                <w:rFonts w:hint="default"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、13.29mg/m</w:t>
            </w:r>
            <w:r>
              <w:rPr>
                <w:rFonts w:hint="default"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，能够满足《工业企业挥发性有机物排放控制标准》（DB13/2322-2016）</w:t>
            </w:r>
            <w:r>
              <w:rPr>
                <w:rFonts w:hint="default" w:ascii="Times New Roman" w:hAnsi="Times New Roman" w:eastAsia="宋体" w:cs="Times New Roman"/>
                <w:color w:val="auto"/>
                <w:spacing w:val="-32"/>
                <w:sz w:val="24"/>
                <w:szCs w:val="24"/>
              </w:rPr>
              <w:t xml:space="preserve">表 </w:t>
            </w:r>
            <w:r>
              <w:rPr>
                <w:rFonts w:hint="default" w:ascii="Times New Roman" w:hAnsi="Times New Roman" w:eastAsia="宋体" w:cs="Times New Roman"/>
                <w:color w:val="auto"/>
                <w:sz w:val="24"/>
                <w:szCs w:val="24"/>
              </w:rPr>
              <w:t>1 其他行业排放限值要求。</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HW49 </w:t>
            </w:r>
            <w:r>
              <w:rPr>
                <w:rFonts w:hint="default" w:ascii="Times New Roman" w:hAnsi="Times New Roman" w:eastAsia="宋体" w:cs="Times New Roman"/>
                <w:color w:val="auto"/>
                <w:spacing w:val="-14"/>
                <w:sz w:val="24"/>
                <w:szCs w:val="24"/>
              </w:rPr>
              <w:t>类</w:t>
            </w:r>
            <w:r>
              <w:rPr>
                <w:rFonts w:hint="default" w:ascii="Times New Roman" w:hAnsi="Times New Roman" w:eastAsia="宋体" w:cs="Times New Roman"/>
                <w:color w:val="auto"/>
                <w:spacing w:val="-3"/>
                <w:sz w:val="24"/>
                <w:szCs w:val="24"/>
              </w:rPr>
              <w:t>（900-044-49）</w:t>
            </w:r>
            <w:r>
              <w:rPr>
                <w:rFonts w:hint="default" w:ascii="Times New Roman" w:hAnsi="Times New Roman" w:eastAsia="宋体" w:cs="Times New Roman"/>
                <w:color w:val="auto"/>
                <w:spacing w:val="-1"/>
                <w:sz w:val="24"/>
                <w:szCs w:val="24"/>
              </w:rPr>
              <w:t>破损区废铅蓄电池暂存会产生硫酸雾。硫酸雾经风机引</w:t>
            </w:r>
            <w:r>
              <w:rPr>
                <w:rFonts w:hint="default" w:ascii="Times New Roman" w:hAnsi="Times New Roman" w:eastAsia="宋体" w:cs="Times New Roman"/>
                <w:color w:val="auto"/>
                <w:spacing w:val="-4"/>
                <w:sz w:val="24"/>
                <w:szCs w:val="24"/>
              </w:rPr>
              <w:t xml:space="preserve">入碱洗塔处理，仓库密闭，在隔间顶部设置集气管道，处理后经 </w:t>
            </w:r>
            <w:r>
              <w:rPr>
                <w:rFonts w:hint="default" w:ascii="Times New Roman" w:hAnsi="Times New Roman" w:eastAsia="宋体" w:cs="Times New Roman"/>
                <w:color w:val="auto"/>
                <w:sz w:val="24"/>
                <w:szCs w:val="24"/>
              </w:rPr>
              <w:t>15m 高的排气筒排</w:t>
            </w:r>
            <w:r>
              <w:rPr>
                <w:rFonts w:hint="default" w:ascii="Times New Roman" w:hAnsi="Times New Roman" w:eastAsia="宋体" w:cs="Times New Roman"/>
                <w:color w:val="auto"/>
                <w:spacing w:val="-8"/>
                <w:sz w:val="24"/>
                <w:szCs w:val="24"/>
              </w:rPr>
              <w:t xml:space="preserve">放，通过分析，硫酸雾排放浓度为 </w:t>
            </w:r>
            <w:r>
              <w:rPr>
                <w:rFonts w:hint="default" w:ascii="Times New Roman" w:hAnsi="Times New Roman" w:eastAsia="宋体" w:cs="Times New Roman"/>
                <w:color w:val="auto"/>
                <w:sz w:val="24"/>
                <w:szCs w:val="24"/>
              </w:rPr>
              <w:t>1.308mg/m</w:t>
            </w:r>
            <w:r>
              <w:rPr>
                <w:rFonts w:hint="default" w:cs="Times New Roman"/>
                <w:color w:val="auto"/>
                <w:sz w:val="24"/>
                <w:szCs w:val="24"/>
                <w:vertAlign w:val="superscript"/>
                <w:lang w:val="en-US" w:eastAsia="zh-CN"/>
              </w:rPr>
              <w:t>3</w:t>
            </w:r>
            <w:r>
              <w:rPr>
                <w:rFonts w:hint="default" w:ascii="Times New Roman" w:hAnsi="Times New Roman" w:eastAsia="宋体" w:cs="Times New Roman"/>
                <w:color w:val="auto"/>
                <w:spacing w:val="-11"/>
                <w:sz w:val="24"/>
                <w:szCs w:val="24"/>
              </w:rPr>
              <w:t xml:space="preserve">，排放速率为 </w:t>
            </w:r>
            <w:r>
              <w:rPr>
                <w:rFonts w:hint="default" w:ascii="Times New Roman" w:hAnsi="Times New Roman" w:eastAsia="宋体" w:cs="Times New Roman"/>
                <w:color w:val="auto"/>
                <w:sz w:val="24"/>
                <w:szCs w:val="24"/>
              </w:rPr>
              <w:t>0.00157kg/h，能够满足《电池工业污染物排放标准》（GB30484-2013）表 5 新建企业大气污染物排放限值及《大气污染物综合排放标准》(GB19297-1996)表 2 二级标准。</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由预测结果可知，项目建设对当地大气环境影响较小，区域环境空气质量不会产生明显变化。</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（2）地下水环境影响分析结论</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本项目设计上对厂区内可能产生地下水污染情况的生产单元按相关要求进行了分区防渗，采取防渗措施后，正常状况下，不会对当地地下水环境产生污染影响。</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本次评价对非正常状况下，对地下水产生的影响进行了数值模拟预测，同时选取特征污染因子石油类、铅作为预测特征污染组分，通过计算分析，进一步说明项目建设对地下水的水质影响较小。</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本次评价认为建设项目应按照相关标准对厂区进行分区防渗，防渗措施可行， 在保证防渗措施良好运行，加强日常监控和管理，保证污染防护措施稳定运行，防止非正常工况污染物下渗污染地下水的前提下，建设项目对地下水环境的影响是可以接受的</w:t>
            </w:r>
            <w:r>
              <w:rPr>
                <w:rFonts w:hint="default" w:ascii="Times New Roman" w:hAnsi="Times New Roman" w:eastAsia="宋体" w:cs="Times New Roman"/>
                <w:color w:val="auto"/>
                <w:sz w:val="24"/>
                <w:szCs w:val="24"/>
                <w:lang w:eastAsia="zh-CN"/>
              </w:rPr>
              <w:t>。</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（3）噪声环境影响分析结论</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eastAsia"/>
                <w:color w:val="auto"/>
                <w:sz w:val="24"/>
                <w:lang w:eastAsia="zh-CN"/>
              </w:rPr>
            </w:pPr>
            <w:r>
              <w:rPr>
                <w:rFonts w:hint="default" w:ascii="Times New Roman" w:hAnsi="Times New Roman" w:eastAsia="宋体" w:cs="Times New Roman"/>
                <w:color w:val="auto"/>
                <w:sz w:val="24"/>
                <w:szCs w:val="24"/>
              </w:rPr>
              <w:t xml:space="preserve">项目主要噪声污染源为风机、输油泵运行产生的机械噪声和空气动力性噪声， </w:t>
            </w:r>
            <w:r>
              <w:rPr>
                <w:rFonts w:hint="default" w:ascii="Times New Roman" w:hAnsi="Times New Roman" w:eastAsia="宋体" w:cs="Times New Roman"/>
                <w:color w:val="auto"/>
                <w:spacing w:val="-11"/>
                <w:sz w:val="24"/>
                <w:szCs w:val="24"/>
              </w:rPr>
              <w:t xml:space="preserve">噪声源强约 </w:t>
            </w:r>
            <w:r>
              <w:rPr>
                <w:rFonts w:hint="default" w:ascii="Times New Roman" w:hAnsi="Times New Roman" w:eastAsia="宋体" w:cs="Times New Roman"/>
                <w:color w:val="auto"/>
                <w:sz w:val="24"/>
                <w:szCs w:val="24"/>
              </w:rPr>
              <w:t>75dB(A)</w:t>
            </w:r>
            <w:r>
              <w:rPr>
                <w:rFonts w:hint="default" w:ascii="Times New Roman" w:hAnsi="Times New Roman" w:eastAsia="宋体" w:cs="Times New Roman"/>
                <w:color w:val="auto"/>
                <w:spacing w:val="-11"/>
                <w:sz w:val="24"/>
                <w:szCs w:val="24"/>
              </w:rPr>
              <w:t>。项目采取选用低噪声设备，将设备置于车间内，同时设置基础</w:t>
            </w:r>
            <w:r>
              <w:rPr>
                <w:rFonts w:hint="default" w:ascii="Times New Roman" w:hAnsi="Times New Roman" w:eastAsia="宋体" w:cs="Times New Roman"/>
                <w:color w:val="auto"/>
                <w:spacing w:val="-7"/>
                <w:sz w:val="24"/>
                <w:szCs w:val="24"/>
              </w:rPr>
              <w:t>减震等降噪声措施后，再经距离衰减，项目西厂界噪声能够达到《工业企业厂界环境噪声排放标准》（GB12348-2008）</w:t>
            </w:r>
            <w:r>
              <w:rPr>
                <w:rFonts w:hint="default" w:ascii="Times New Roman" w:hAnsi="Times New Roman" w:eastAsia="宋体" w:cs="Times New Roman"/>
                <w:color w:val="auto"/>
                <w:spacing w:val="-28"/>
                <w:sz w:val="24"/>
                <w:szCs w:val="24"/>
              </w:rPr>
              <w:t xml:space="preserve">中 </w:t>
            </w:r>
            <w:r>
              <w:rPr>
                <w:rFonts w:hint="default" w:ascii="Times New Roman" w:hAnsi="Times New Roman" w:eastAsia="宋体" w:cs="Times New Roman"/>
                <w:color w:val="auto"/>
                <w:sz w:val="24"/>
                <w:szCs w:val="24"/>
              </w:rPr>
              <w:t>4 类标准限值要求；其它厂界噪声均能够达到《工业企业厂界环境噪声排放标准》（GB12348-2008）中 2 类标准限值要求。本项目厂界噪声能够实现达标排放，不会对周边声环境产生污染影响。</w:t>
            </w:r>
          </w:p>
        </w:tc>
      </w:tr>
    </w:tbl>
    <w:p>
      <w:pPr>
        <w:pStyle w:val="18"/>
        <w:rPr>
          <w:rFonts w:hint="eastAsia"/>
          <w:color w:val="FF0000"/>
          <w:lang w:eastAsia="zh-CN"/>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表四</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jc w:val="center"/>
        </w:trPr>
        <w:tc>
          <w:tcPr>
            <w:tcW w:w="9465" w:type="dxa"/>
            <w:noWrap w:val="0"/>
            <w:vAlign w:val="top"/>
          </w:tcPr>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（4）固体废物环境影响分析结论</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本项目固体废物全部得到妥善处置，不会对周围环境产生二次污染影响。</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2"/>
                <w:sz w:val="24"/>
              </w:rPr>
              <w:t>7、本项目总量控制建议指标为：SO</w:t>
            </w:r>
            <w:r>
              <w:rPr>
                <w:rFonts w:hint="default" w:ascii="Times New Roman" w:hAnsi="Times New Roman" w:eastAsia="宋体" w:cs="Times New Roman"/>
                <w:color w:val="auto"/>
                <w:position w:val="2"/>
                <w:sz w:val="24"/>
                <w:vertAlign w:val="subscript"/>
              </w:rPr>
              <w:t>2</w:t>
            </w:r>
            <w:r>
              <w:rPr>
                <w:rFonts w:hint="default" w:ascii="Times New Roman" w:hAnsi="Times New Roman" w:eastAsia="宋体" w:cs="Times New Roman"/>
                <w:color w:val="auto"/>
                <w:position w:val="2"/>
                <w:sz w:val="24"/>
                <w:vertAlign w:val="baseline"/>
              </w:rPr>
              <w:t>0t/a、NOx0t/a</w:t>
            </w:r>
            <w:r>
              <w:rPr>
                <w:rFonts w:hint="default" w:ascii="Times New Roman" w:hAnsi="Times New Roman" w:eastAsia="宋体" w:cs="Times New Roman"/>
                <w:color w:val="auto"/>
                <w:spacing w:val="-9"/>
                <w:position w:val="2"/>
                <w:sz w:val="24"/>
                <w:vertAlign w:val="baseline"/>
              </w:rPr>
              <w:t xml:space="preserve">、颗粒物 </w:t>
            </w:r>
            <w:r>
              <w:rPr>
                <w:rFonts w:hint="default" w:ascii="Times New Roman" w:hAnsi="Times New Roman" w:eastAsia="宋体" w:cs="Times New Roman"/>
                <w:color w:val="auto"/>
                <w:position w:val="2"/>
                <w:sz w:val="24"/>
                <w:vertAlign w:val="baseline"/>
              </w:rPr>
              <w:t>0t/a、VOCs（以非</w:t>
            </w:r>
            <w:r>
              <w:rPr>
                <w:rFonts w:hint="default" w:ascii="Times New Roman" w:hAnsi="Times New Roman" w:eastAsia="宋体" w:cs="Times New Roman"/>
                <w:color w:val="auto"/>
                <w:sz w:val="24"/>
                <w:vertAlign w:val="baseline"/>
              </w:rPr>
              <w:t>甲烷总烃计）0.687t/a</w:t>
            </w:r>
            <w:r>
              <w:rPr>
                <w:rFonts w:hint="default" w:ascii="Times New Roman" w:hAnsi="Times New Roman" w:eastAsia="宋体" w:cs="Times New Roman"/>
                <w:color w:val="auto"/>
                <w:spacing w:val="-6"/>
                <w:sz w:val="24"/>
                <w:vertAlign w:val="baseline"/>
              </w:rPr>
              <w:t>、</w:t>
            </w:r>
            <w:r>
              <w:rPr>
                <w:rFonts w:hint="default" w:ascii="Times New Roman" w:hAnsi="Times New Roman" w:eastAsia="宋体" w:cs="Times New Roman"/>
                <w:color w:val="auto"/>
                <w:sz w:val="24"/>
                <w:vertAlign w:val="baseline"/>
              </w:rPr>
              <w:t>COD0t/a</w:t>
            </w:r>
            <w:r>
              <w:rPr>
                <w:rFonts w:hint="default" w:ascii="Times New Roman" w:hAnsi="Times New Roman" w:eastAsia="宋体" w:cs="Times New Roman"/>
                <w:color w:val="auto"/>
                <w:spacing w:val="-19"/>
                <w:sz w:val="24"/>
                <w:vertAlign w:val="baseline"/>
              </w:rPr>
              <w:t xml:space="preserve">、氨氮 </w:t>
            </w:r>
            <w:r>
              <w:rPr>
                <w:rFonts w:hint="default" w:ascii="Times New Roman" w:hAnsi="Times New Roman" w:eastAsia="宋体" w:cs="Times New Roman"/>
                <w:color w:val="auto"/>
                <w:sz w:val="24"/>
                <w:vertAlign w:val="baseline"/>
              </w:rPr>
              <w:t>0t/a</w:t>
            </w:r>
            <w:r>
              <w:rPr>
                <w:rFonts w:hint="default" w:ascii="Times New Roman" w:hAnsi="Times New Roman" w:eastAsia="宋体" w:cs="Times New Roman"/>
                <w:color w:val="auto"/>
                <w:spacing w:val="-19"/>
                <w:sz w:val="24"/>
                <w:vertAlign w:val="baseline"/>
              </w:rPr>
              <w:t xml:space="preserve">、总氮 </w:t>
            </w:r>
            <w:r>
              <w:rPr>
                <w:rFonts w:hint="default" w:ascii="Times New Roman" w:hAnsi="Times New Roman" w:eastAsia="宋体" w:cs="Times New Roman"/>
                <w:color w:val="auto"/>
                <w:sz w:val="24"/>
                <w:vertAlign w:val="baseline"/>
              </w:rPr>
              <w:t>0t/a</w:t>
            </w:r>
            <w:r>
              <w:rPr>
                <w:rFonts w:hint="default" w:ascii="Times New Roman" w:hAnsi="Times New Roman" w:eastAsia="宋体" w:cs="Times New Roman"/>
                <w:color w:val="auto"/>
                <w:spacing w:val="-19"/>
                <w:sz w:val="24"/>
                <w:vertAlign w:val="baseline"/>
              </w:rPr>
              <w:t xml:space="preserve">、总磷 </w:t>
            </w:r>
            <w:r>
              <w:rPr>
                <w:rFonts w:hint="default" w:ascii="Times New Roman" w:hAnsi="Times New Roman" w:eastAsia="宋体" w:cs="Times New Roman"/>
                <w:color w:val="auto"/>
                <w:sz w:val="24"/>
                <w:vertAlign w:val="baseline"/>
              </w:rPr>
              <w:t>0t/a</w:t>
            </w:r>
            <w:r>
              <w:rPr>
                <w:rFonts w:hint="default" w:ascii="Times New Roman" w:hAnsi="Times New Roman" w:eastAsia="宋体" w:cs="Times New Roman"/>
                <w:color w:val="auto"/>
                <w:spacing w:val="-18"/>
                <w:sz w:val="24"/>
                <w:vertAlign w:val="baseline"/>
              </w:rPr>
              <w:t xml:space="preserve">、甲苯 </w:t>
            </w:r>
            <w:r>
              <w:rPr>
                <w:rFonts w:hint="default" w:ascii="Times New Roman" w:hAnsi="Times New Roman" w:eastAsia="宋体" w:cs="Times New Roman"/>
                <w:color w:val="auto"/>
                <w:sz w:val="24"/>
                <w:vertAlign w:val="baseline"/>
              </w:rPr>
              <w:t>0.012t/a</w:t>
            </w:r>
            <w:r>
              <w:rPr>
                <w:rFonts w:hint="default" w:ascii="Times New Roman" w:hAnsi="Times New Roman" w:eastAsia="宋体" w:cs="Times New Roman"/>
                <w:color w:val="auto"/>
                <w:spacing w:val="-6"/>
                <w:sz w:val="24"/>
                <w:vertAlign w:val="baseline"/>
              </w:rPr>
              <w:t>、二</w:t>
            </w:r>
            <w:r>
              <w:rPr>
                <w:rFonts w:hint="default" w:ascii="Times New Roman" w:hAnsi="Times New Roman" w:eastAsia="宋体" w:cs="Times New Roman"/>
                <w:color w:val="auto"/>
                <w:spacing w:val="-21"/>
                <w:sz w:val="24"/>
                <w:vertAlign w:val="baseline"/>
              </w:rPr>
              <w:t xml:space="preserve">甲苯 </w:t>
            </w:r>
            <w:r>
              <w:rPr>
                <w:rFonts w:hint="default" w:ascii="Times New Roman" w:hAnsi="Times New Roman" w:eastAsia="宋体" w:cs="Times New Roman"/>
                <w:color w:val="auto"/>
                <w:sz w:val="24"/>
                <w:vertAlign w:val="baseline"/>
              </w:rPr>
              <w:t>0.02t/a</w:t>
            </w:r>
            <w:r>
              <w:rPr>
                <w:rFonts w:hint="default" w:ascii="Times New Roman" w:hAnsi="Times New Roman" w:eastAsia="宋体" w:cs="Times New Roman"/>
                <w:color w:val="auto"/>
                <w:spacing w:val="-13"/>
                <w:sz w:val="24"/>
                <w:vertAlign w:val="baseline"/>
              </w:rPr>
              <w:t xml:space="preserve">、硫酸雾 </w:t>
            </w:r>
            <w:r>
              <w:rPr>
                <w:rFonts w:hint="default" w:ascii="Times New Roman" w:hAnsi="Times New Roman" w:eastAsia="宋体" w:cs="Times New Roman"/>
                <w:color w:val="auto"/>
                <w:sz w:val="24"/>
                <w:vertAlign w:val="baseline"/>
              </w:rPr>
              <w:t>0.0138t/a。</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8、可行性结论</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综上所述，该项目建设符合国家及地方现行产业政策；占地性质符合蠡县土地</w:t>
            </w:r>
            <w:r>
              <w:rPr>
                <w:rFonts w:hint="default" w:ascii="Times New Roman" w:hAnsi="Times New Roman" w:eastAsia="宋体" w:cs="Times New Roman"/>
                <w:color w:val="auto"/>
                <w:spacing w:val="-3"/>
                <w:sz w:val="24"/>
              </w:rPr>
              <w:t>利用总体规划要求，项目选址合理；营运期在确保污染治理设施正常运行的前提下，</w:t>
            </w:r>
            <w:r>
              <w:rPr>
                <w:rFonts w:hint="default" w:ascii="Times New Roman" w:hAnsi="Times New Roman" w:eastAsia="宋体" w:cs="Times New Roman"/>
                <w:color w:val="auto"/>
                <w:spacing w:val="-2"/>
                <w:sz w:val="24"/>
              </w:rPr>
              <w:t>污染物能够做到达标排放，对周围环境影响较小。从环境保护角度分析，该项目建设可行。</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right="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建议</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为保护环境，确保环保设施正常运行和污染物达标排放，针对工程特点，本评价提出如下要求与建议：</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（1）定期对员工进行培训，提高全体员工的环保意识和自我保护意识；</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（2）经常检查设备完好率，加强设备维修、维护，保证其正常运行。三、建设</w:t>
            </w:r>
            <w:r>
              <w:rPr>
                <w:rFonts w:hint="default" w:ascii="Times New Roman" w:hAnsi="Times New Roman" w:eastAsia="宋体" w:cs="Times New Roman"/>
                <w:color w:val="auto"/>
                <w:sz w:val="24"/>
                <w:lang w:val="en-US" w:eastAsia="zh-CN"/>
              </w:rPr>
              <w:t>三、</w:t>
            </w:r>
            <w:r>
              <w:rPr>
                <w:rFonts w:hint="default" w:ascii="Times New Roman" w:hAnsi="Times New Roman" w:eastAsia="宋体" w:cs="Times New Roman"/>
                <w:color w:val="auto"/>
                <w:sz w:val="24"/>
              </w:rPr>
              <w:t>项目竣工环境保护验收内容：</w:t>
            </w:r>
          </w:p>
          <w:p>
            <w:pPr>
              <w:pStyle w:val="59"/>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本项目竣工环境保护“三同时”验收内容见下表。</w:t>
            </w:r>
          </w:p>
          <w:p>
            <w:pPr>
              <w:pStyle w:val="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pacing w:val="-62"/>
                <w:sz w:val="24"/>
              </w:rPr>
              <w:t xml:space="preserve"> </w:t>
            </w:r>
            <w:r>
              <w:rPr>
                <w:rFonts w:hint="default" w:ascii="Times New Roman" w:hAnsi="Times New Roman" w:eastAsia="宋体" w:cs="Times New Roman"/>
                <w:b/>
                <w:color w:val="auto"/>
                <w:sz w:val="24"/>
              </w:rPr>
              <w:t>82</w:t>
            </w:r>
            <w:r>
              <w:rPr>
                <w:rFonts w:hint="default" w:ascii="Times New Roman" w:hAnsi="Times New Roman" w:eastAsia="宋体" w:cs="Times New Roman"/>
                <w:b/>
                <w:color w:val="auto"/>
                <w:sz w:val="24"/>
              </w:rPr>
              <w:tab/>
            </w:r>
            <w:r>
              <w:rPr>
                <w:rFonts w:hint="default" w:ascii="Times New Roman" w:hAnsi="Times New Roman" w:eastAsia="宋体" w:cs="Times New Roman"/>
                <w:b/>
                <w:color w:val="auto"/>
                <w:sz w:val="24"/>
              </w:rPr>
              <w:t>建设项目竣工环境保护“三同时”验收内容一览表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33"/>
              <w:gridCol w:w="920"/>
              <w:gridCol w:w="2973"/>
              <w:gridCol w:w="1212"/>
              <w:gridCol w:w="1859"/>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654" w:type="pct"/>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污染源</w:t>
                  </w:r>
                </w:p>
              </w:tc>
              <w:tc>
                <w:tcPr>
                  <w:tcW w:w="498"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污染物</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防治措施</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标准限值</w:t>
                  </w:r>
                </w:p>
              </w:tc>
              <w:tc>
                <w:tcPr>
                  <w:tcW w:w="100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验收标准</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投资</w:t>
                  </w:r>
                </w:p>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5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废气</w:t>
                  </w:r>
                </w:p>
              </w:tc>
              <w:tc>
                <w:tcPr>
                  <w:tcW w:w="39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储罐呼吸废气</w:t>
                  </w:r>
                </w:p>
              </w:tc>
              <w:tc>
                <w:tcPr>
                  <w:tcW w:w="498"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非甲烷总烃</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延长各储油罐呼吸口+车载罐灌装口设置密闭集气罩+密闭管网+UV光氧+两级活性炭吸附</w:t>
                  </w:r>
                </w:p>
              </w:tc>
              <w:tc>
                <w:tcPr>
                  <w:tcW w:w="65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≤80mg/m</w:t>
                  </w:r>
                  <w:r>
                    <w:rPr>
                      <w:rFonts w:hint="eastAsia" w:ascii="宋体" w:hAnsi="宋体" w:eastAsia="宋体" w:cs="宋体"/>
                      <w:color w:val="auto"/>
                      <w:sz w:val="21"/>
                      <w:szCs w:val="21"/>
                      <w:vertAlign w:val="superscript"/>
                      <w:lang w:val="en-US" w:eastAsia="zh-CN"/>
                    </w:rPr>
                    <w:t>3</w:t>
                  </w:r>
                </w:p>
              </w:tc>
              <w:tc>
                <w:tcPr>
                  <w:tcW w:w="1006" w:type="pct"/>
                  <w:vMerge w:val="restar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《工业企业挥发性有机物排放控制标准》（DB13/2322-2016）表 2 企业边界大气污染物浓度限值</w:t>
                  </w:r>
                </w:p>
              </w:tc>
              <w:tc>
                <w:tcPr>
                  <w:tcW w:w="57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5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危废暂存</w:t>
                  </w:r>
                </w:p>
              </w:tc>
              <w:tc>
                <w:tcPr>
                  <w:tcW w:w="498"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非甲烷总烃</w:t>
                  </w:r>
                </w:p>
              </w:tc>
              <w:tc>
                <w:tcPr>
                  <w:tcW w:w="160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仓库密闭，在隔间顶部设置集气管道，收集的废气与储罐废气共同经一套 UV 光氧+两级活性炭吸附</w:t>
                  </w:r>
                </w:p>
              </w:tc>
              <w:tc>
                <w:tcPr>
                  <w:tcW w:w="65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10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5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498"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甲苯</w:t>
                  </w:r>
                </w:p>
              </w:tc>
              <w:tc>
                <w:tcPr>
                  <w:tcW w:w="160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65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≤40mg/m</w:t>
                  </w:r>
                  <w:r>
                    <w:rPr>
                      <w:rFonts w:hint="eastAsia" w:ascii="宋体" w:hAnsi="宋体" w:eastAsia="宋体" w:cs="宋体"/>
                      <w:color w:val="auto"/>
                      <w:sz w:val="21"/>
                      <w:szCs w:val="21"/>
                      <w:vertAlign w:val="superscript"/>
                      <w:lang w:val="en-US" w:eastAsia="zh-CN"/>
                    </w:rPr>
                    <w:t>3</w:t>
                  </w:r>
                </w:p>
              </w:tc>
              <w:tc>
                <w:tcPr>
                  <w:tcW w:w="10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5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498"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二甲苯</w:t>
                  </w:r>
                </w:p>
              </w:tc>
              <w:tc>
                <w:tcPr>
                  <w:tcW w:w="160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65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10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5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危废暂存</w:t>
                  </w:r>
                </w:p>
              </w:tc>
              <w:tc>
                <w:tcPr>
                  <w:tcW w:w="498"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硫酸雾</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硫酸雾经风机引入碱洗塔</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≤5mg/m</w:t>
                  </w:r>
                  <w:r>
                    <w:rPr>
                      <w:rFonts w:hint="eastAsia" w:ascii="宋体" w:hAnsi="宋体" w:eastAsia="宋体" w:cs="宋体"/>
                      <w:color w:val="auto"/>
                      <w:sz w:val="21"/>
                      <w:szCs w:val="21"/>
                      <w:vertAlign w:val="superscript"/>
                      <w:lang w:val="en-US" w:eastAsia="zh-CN"/>
                    </w:rPr>
                    <w:t>3</w:t>
                  </w:r>
                </w:p>
              </w:tc>
              <w:tc>
                <w:tcPr>
                  <w:tcW w:w="100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《电池工业污染物排放标准》（GB30484-2013）表 5 新建企业边界大气污染物排放限值及《大气污染物综合排放标准》(GB19297-1996)</w:t>
                  </w:r>
                  <w:r>
                    <w:rPr>
                      <w:rFonts w:hint="eastAsia" w:ascii="宋体" w:hAnsi="宋体" w:eastAsia="宋体" w:cs="宋体"/>
                      <w:color w:val="auto"/>
                      <w:sz w:val="21"/>
                      <w:szCs w:val="21"/>
                      <w:vertAlign w:val="baseline"/>
                      <w:lang w:val="en-US" w:eastAsia="zh-CN"/>
                    </w:rPr>
                    <w:t>表</w:t>
                  </w:r>
                  <w:r>
                    <w:rPr>
                      <w:rFonts w:hint="eastAsia" w:ascii="宋体" w:hAnsi="宋体" w:eastAsia="宋体" w:cs="宋体"/>
                      <w:color w:val="auto"/>
                      <w:sz w:val="21"/>
                      <w:szCs w:val="21"/>
                      <w:vertAlign w:val="baseline"/>
                      <w:lang w:eastAsia="zh-CN"/>
                    </w:rPr>
                    <w:t>2 二级标准</w:t>
                  </w:r>
                </w:p>
              </w:tc>
              <w:tc>
                <w:tcPr>
                  <w:tcW w:w="57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bl>
          <w:p>
            <w:pPr>
              <w:keepNext w:val="0"/>
              <w:keepLines w:val="0"/>
              <w:pageBreakBefore w:val="0"/>
              <w:tabs>
                <w:tab w:val="left" w:pos="0"/>
                <w:tab w:val="left" w:pos="860"/>
                <w:tab w:val="left" w:pos="1070"/>
              </w:tabs>
              <w:kinsoku/>
              <w:wordWrap/>
              <w:overflowPunct/>
              <w:topLinePunct w:val="0"/>
              <w:autoSpaceDE/>
              <w:bidi w:val="0"/>
              <w:spacing w:after="0" w:line="360" w:lineRule="auto"/>
              <w:ind w:left="0" w:leftChars="0" w:right="0" w:rightChars="0" w:firstLine="480" w:firstLineChars="200"/>
              <w:textAlignment w:val="auto"/>
              <w:rPr>
                <w:rFonts w:hint="eastAsia"/>
                <w:color w:val="auto"/>
                <w:sz w:val="24"/>
                <w:lang w:eastAsia="zh-CN"/>
              </w:rPr>
            </w:pPr>
          </w:p>
        </w:tc>
      </w:tr>
    </w:tbl>
    <w:p>
      <w:pPr>
        <w:rPr>
          <w:rFonts w:hint="eastAsia"/>
          <w:color w:val="FF0000"/>
          <w:lang w:eastAsia="zh-CN"/>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表四</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jc w:val="center"/>
        </w:trPr>
        <w:tc>
          <w:tcPr>
            <w:tcW w:w="9465" w:type="dxa"/>
            <w:noWrap w:val="0"/>
            <w:vAlign w:val="top"/>
          </w:tcPr>
          <w:p>
            <w:pPr>
              <w:pStyle w:val="59"/>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4"/>
              </w:rPr>
            </w:pPr>
            <w:r>
              <w:rPr>
                <w:rFonts w:hint="eastAsia" w:ascii="Times New Roman" w:hAnsi="Times New Roman" w:cs="Times New Roman"/>
                <w:b/>
                <w:color w:val="auto"/>
                <w:sz w:val="24"/>
                <w:lang w:val="en-US" w:eastAsia="zh-CN"/>
              </w:rPr>
              <w:t>二、</w:t>
            </w:r>
            <w:r>
              <w:rPr>
                <w:rFonts w:hint="eastAsia" w:ascii="Times New Roman" w:hAnsi="Times New Roman" w:eastAsia="宋体" w:cs="Times New Roman"/>
                <w:b/>
                <w:color w:val="auto"/>
                <w:sz w:val="24"/>
                <w:lang w:val="en-US" w:eastAsia="zh-CN"/>
              </w:rPr>
              <w:t>续</w:t>
            </w: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pacing w:val="-62"/>
                <w:sz w:val="24"/>
              </w:rPr>
              <w:t xml:space="preserve"> </w:t>
            </w:r>
            <w:r>
              <w:rPr>
                <w:rFonts w:hint="default" w:ascii="Times New Roman" w:hAnsi="Times New Roman" w:eastAsia="宋体" w:cs="Times New Roman"/>
                <w:b/>
                <w:color w:val="auto"/>
                <w:sz w:val="24"/>
              </w:rPr>
              <w:t>82</w:t>
            </w:r>
            <w:r>
              <w:rPr>
                <w:rFonts w:hint="default" w:ascii="Times New Roman" w:hAnsi="Times New Roman" w:eastAsia="宋体" w:cs="Times New Roman"/>
                <w:b/>
                <w:color w:val="auto"/>
                <w:sz w:val="24"/>
              </w:rPr>
              <w:tab/>
            </w:r>
            <w:r>
              <w:rPr>
                <w:rFonts w:hint="default" w:ascii="Times New Roman" w:hAnsi="Times New Roman" w:eastAsia="宋体" w:cs="Times New Roman"/>
                <w:b/>
                <w:color w:val="auto"/>
                <w:sz w:val="24"/>
              </w:rPr>
              <w:t>建设项目竣工环境保护“三同时”验收内容一览表</w:t>
            </w:r>
          </w:p>
          <w:tbl>
            <w:tblPr>
              <w:tblStyle w:val="20"/>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737"/>
              <w:gridCol w:w="919"/>
              <w:gridCol w:w="2980"/>
              <w:gridCol w:w="1215"/>
              <w:gridCol w:w="187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52" w:type="pct"/>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污染源</w:t>
                  </w:r>
                </w:p>
              </w:tc>
              <w:tc>
                <w:tcPr>
                  <w:tcW w:w="49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污染物</w:t>
                  </w:r>
                </w:p>
              </w:tc>
              <w:tc>
                <w:tcPr>
                  <w:tcW w:w="1609"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防治措施</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标准限值</w:t>
                  </w:r>
                </w:p>
              </w:tc>
              <w:tc>
                <w:tcPr>
                  <w:tcW w:w="101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验收标准</w:t>
                  </w:r>
                </w:p>
              </w:tc>
              <w:tc>
                <w:tcPr>
                  <w:tcW w:w="57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投资</w:t>
                  </w:r>
                </w:p>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25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噪声</w:t>
                  </w:r>
                </w:p>
              </w:tc>
              <w:tc>
                <w:tcPr>
                  <w:tcW w:w="39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风机、输油泵</w:t>
                  </w:r>
                </w:p>
              </w:tc>
              <w:tc>
                <w:tcPr>
                  <w:tcW w:w="49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Leq</w:t>
                  </w:r>
                </w:p>
              </w:tc>
              <w:tc>
                <w:tcPr>
                  <w:tcW w:w="160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基础减振、厂房隔声等降噪措施</w:t>
                  </w:r>
                </w:p>
              </w:tc>
              <w:tc>
                <w:tcPr>
                  <w:tcW w:w="65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昼间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≤70dB(A)</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夜间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≤55dB(A)</w:t>
                  </w:r>
                </w:p>
              </w:tc>
              <w:tc>
                <w:tcPr>
                  <w:tcW w:w="101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西厂界《工业企业厂界环境噪声排放标准》（GB12348-2008）4类标准</w:t>
                  </w:r>
                </w:p>
              </w:tc>
              <w:tc>
                <w:tcPr>
                  <w:tcW w:w="57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25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49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160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65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昼间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≤60dB(A)</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夜间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≤50dB(A)</w:t>
                  </w:r>
                </w:p>
              </w:tc>
              <w:tc>
                <w:tcPr>
                  <w:tcW w:w="101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其他厂界《工业企业厂界环境噪声排放标准》（GB12348-2008）2类标准</w:t>
                  </w:r>
                </w:p>
              </w:tc>
              <w:tc>
                <w:tcPr>
                  <w:tcW w:w="57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5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固废</w:t>
                  </w:r>
                </w:p>
              </w:tc>
              <w:tc>
                <w:tcPr>
                  <w:tcW w:w="3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废气治理</w:t>
                  </w:r>
                </w:p>
              </w:tc>
              <w:tc>
                <w:tcPr>
                  <w:tcW w:w="49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废活性炭</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存于新建危废暂存间，委托有资质单位处置</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c>
                <w:tcPr>
                  <w:tcW w:w="1011" w:type="pct"/>
                  <w:vMerge w:val="restar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 xml:space="preserve">《危险废物贮存污染控制标准》（GB </w:t>
                  </w:r>
                  <w:r>
                    <w:rPr>
                      <w:rFonts w:hint="eastAsia" w:ascii="宋体" w:hAnsi="宋体" w:eastAsia="宋体" w:cs="宋体"/>
                      <w:color w:val="auto"/>
                      <w:spacing w:val="-9"/>
                      <w:sz w:val="21"/>
                      <w:szCs w:val="21"/>
                    </w:rPr>
                    <w:t>18597-2001）</w:t>
                  </w:r>
                  <w:r>
                    <w:rPr>
                      <w:rFonts w:hint="eastAsia" w:ascii="宋体" w:hAnsi="宋体" w:eastAsia="宋体" w:cs="宋体"/>
                      <w:color w:val="auto"/>
                      <w:sz w:val="21"/>
                      <w:szCs w:val="21"/>
                    </w:rPr>
                    <w:t>及其修改单（环境保护部</w:t>
                  </w:r>
                  <w:r>
                    <w:rPr>
                      <w:rFonts w:hint="eastAsia" w:ascii="宋体" w:hAnsi="宋体" w:eastAsia="宋体" w:cs="宋体"/>
                      <w:color w:val="auto"/>
                      <w:spacing w:val="-18"/>
                      <w:sz w:val="21"/>
                      <w:szCs w:val="21"/>
                    </w:rPr>
                    <w:t xml:space="preserve">公告 </w:t>
                  </w:r>
                  <w:r>
                    <w:rPr>
                      <w:rFonts w:hint="eastAsia" w:ascii="宋体" w:hAnsi="宋体" w:eastAsia="宋体" w:cs="宋体"/>
                      <w:color w:val="auto"/>
                      <w:sz w:val="21"/>
                      <w:szCs w:val="21"/>
                    </w:rPr>
                    <w:t xml:space="preserve">2013 </w:t>
                  </w:r>
                  <w:r>
                    <w:rPr>
                      <w:rFonts w:hint="eastAsia" w:ascii="宋体" w:hAnsi="宋体" w:eastAsia="宋体" w:cs="宋体"/>
                      <w:color w:val="auto"/>
                      <w:spacing w:val="-18"/>
                      <w:sz w:val="21"/>
                      <w:szCs w:val="21"/>
                    </w:rPr>
                    <w:t xml:space="preserve">年第 </w:t>
                  </w:r>
                  <w:r>
                    <w:rPr>
                      <w:rFonts w:hint="eastAsia" w:ascii="宋体" w:hAnsi="宋体" w:eastAsia="宋体" w:cs="宋体"/>
                      <w:color w:val="auto"/>
                      <w:sz w:val="21"/>
                      <w:szCs w:val="21"/>
                    </w:rPr>
                    <w:t>36 号）的规定、《危险废物污染防治技术政策》、《危险废物转移联单管理办法》及《危险废物收集贮存运输技术规范》HJ2025-2012 中的有关规定</w:t>
                  </w:r>
                </w:p>
              </w:tc>
              <w:tc>
                <w:tcPr>
                  <w:tcW w:w="57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5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7" w:type="pct"/>
                  <w:vMerge w:val="restar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生产固废</w:t>
                  </w:r>
                </w:p>
              </w:tc>
              <w:tc>
                <w:tcPr>
                  <w:tcW w:w="49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废抹布</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存于新建危废暂存间，委托有资质单位处置</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w:t>
                  </w:r>
                </w:p>
              </w:tc>
              <w:tc>
                <w:tcPr>
                  <w:tcW w:w="101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5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49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废劳保用品</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存于新建危废暂存</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间，委托有资质单位处置</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w:t>
                  </w:r>
                </w:p>
              </w:tc>
              <w:tc>
                <w:tcPr>
                  <w:tcW w:w="101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5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49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废塑料箱</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存于新建危废暂存间，委托有资质单位处置</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w:t>
                  </w:r>
                </w:p>
              </w:tc>
              <w:tc>
                <w:tcPr>
                  <w:tcW w:w="101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5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49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废电解液</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存于新建危废暂存 间，委托有资质单位处置</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w:t>
                  </w:r>
                </w:p>
              </w:tc>
              <w:tc>
                <w:tcPr>
                  <w:tcW w:w="101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5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废气治理</w:t>
                  </w:r>
                </w:p>
              </w:tc>
              <w:tc>
                <w:tcPr>
                  <w:tcW w:w="49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废碱液</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存于新建危废暂存间，委托有资质单位处置</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w:t>
                  </w:r>
                </w:p>
              </w:tc>
              <w:tc>
                <w:tcPr>
                  <w:tcW w:w="101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5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3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储罐清底</w:t>
                  </w:r>
                </w:p>
              </w:tc>
              <w:tc>
                <w:tcPr>
                  <w:tcW w:w="496"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油泥</w:t>
                  </w:r>
                </w:p>
              </w:tc>
              <w:tc>
                <w:tcPr>
                  <w:tcW w:w="1609"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存于新建危废暂存间，委托有资质单位处置</w:t>
                  </w:r>
                </w:p>
              </w:tc>
              <w:tc>
                <w:tcPr>
                  <w:tcW w:w="656"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w:t>
                  </w:r>
                </w:p>
              </w:tc>
              <w:tc>
                <w:tcPr>
                  <w:tcW w:w="101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c>
                <w:tcPr>
                  <w:tcW w:w="57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rPr>
              <w:tc>
                <w:tcPr>
                  <w:tcW w:w="254"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w:t>
                  </w:r>
                </w:p>
              </w:tc>
              <w:tc>
                <w:tcPr>
                  <w:tcW w:w="4172" w:type="pct"/>
                  <w:gridSpan w:val="5"/>
                  <w:vAlign w:val="center"/>
                </w:tcPr>
                <w:p>
                  <w:pPr>
                    <w:pStyle w:val="59"/>
                    <w:keepNext w:val="0"/>
                    <w:keepLines w:val="0"/>
                    <w:pageBreakBefore w:val="0"/>
                    <w:widowControl w:val="0"/>
                    <w:numPr>
                      <w:ilvl w:val="0"/>
                      <w:numId w:val="4"/>
                    </w:numPr>
                    <w:kinsoku/>
                    <w:wordWrap/>
                    <w:overflowPunct/>
                    <w:topLinePunct w:val="0"/>
                    <w:autoSpaceDE/>
                    <w:autoSpaceDN/>
                    <w:bidi w:val="0"/>
                    <w:adjustRightInd w:val="0"/>
                    <w:snapToGrid w:val="0"/>
                    <w:spacing w:after="0" w:line="240" w:lineRule="auto"/>
                    <w:ind w:left="0" w:right="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 xml:space="preserve">仓库地面采用 </w:t>
                  </w:r>
                  <w:r>
                    <w:rPr>
                      <w:rFonts w:hint="eastAsia" w:ascii="宋体" w:hAnsi="宋体" w:eastAsia="宋体" w:cs="宋体"/>
                      <w:color w:val="auto"/>
                      <w:sz w:val="21"/>
                      <w:szCs w:val="21"/>
                    </w:rPr>
                    <w:t xml:space="preserve">3 </w:t>
                  </w:r>
                  <w:r>
                    <w:rPr>
                      <w:rFonts w:hint="eastAsia" w:ascii="宋体" w:hAnsi="宋体" w:eastAsia="宋体" w:cs="宋体"/>
                      <w:color w:val="auto"/>
                      <w:spacing w:val="1"/>
                      <w:sz w:val="21"/>
                      <w:szCs w:val="21"/>
                    </w:rPr>
                    <w:t>毫米厚聚酯玻璃钢防腐防渗漏，使等效黏土防渗层</w:t>
                  </w:r>
                  <w:r>
                    <w:rPr>
                      <w:rFonts w:hint="eastAsia" w:ascii="宋体" w:hAnsi="宋体" w:eastAsia="宋体" w:cs="宋体"/>
                      <w:color w:val="auto"/>
                      <w:sz w:val="21"/>
                      <w:szCs w:val="21"/>
                    </w:rPr>
                    <w:t>Mb≥6.0m，渗透系数≤1×10</w:t>
                  </w:r>
                  <w:r>
                    <w:rPr>
                      <w:rFonts w:hint="eastAsia" w:cs="宋体"/>
                      <w:color w:val="auto"/>
                      <w:sz w:val="21"/>
                      <w:szCs w:val="21"/>
                      <w:vertAlign w:val="superscript"/>
                      <w:lang w:val="en-US" w:eastAsia="zh-CN"/>
                    </w:rPr>
                    <w:t>-10</w:t>
                  </w:r>
                  <w:r>
                    <w:rPr>
                      <w:rFonts w:hint="eastAsia" w:ascii="宋体" w:hAnsi="宋体" w:eastAsia="宋体" w:cs="宋体"/>
                      <w:color w:val="auto"/>
                      <w:sz w:val="21"/>
                      <w:szCs w:val="21"/>
                    </w:rPr>
                    <w:t>cm/s。厂区地面采用垂直防渗+水平防渗，地面下部铺设 300mm粘土层（保护层，同时作为辅助防渗层）压实平整，整体采用耐腐蚀水泥浇筑而成，使等效黏土防渗层 Mb≥1.5m，渗透系数≤1×10</w:t>
                  </w:r>
                  <w:r>
                    <w:rPr>
                      <w:rFonts w:hint="eastAsia" w:cs="宋体"/>
                      <w:color w:val="auto"/>
                      <w:sz w:val="21"/>
                      <w:szCs w:val="21"/>
                      <w:vertAlign w:val="superscript"/>
                      <w:lang w:val="en-US" w:eastAsia="zh-CN"/>
                    </w:rPr>
                    <w:t>-7</w:t>
                  </w:r>
                  <w:r>
                    <w:rPr>
                      <w:rFonts w:hint="eastAsia" w:ascii="宋体" w:hAnsi="宋体" w:eastAsia="宋体" w:cs="宋体"/>
                      <w:color w:val="auto"/>
                      <w:sz w:val="21"/>
                      <w:szCs w:val="21"/>
                    </w:rPr>
                    <w:t>cm/s。</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pacing w:val="-12"/>
                      <w:sz w:val="21"/>
                      <w:szCs w:val="21"/>
                    </w:rPr>
                    <w:t>地沟、引流槽：采用</w:t>
                  </w:r>
                  <w:r>
                    <w:rPr>
                      <w:rFonts w:hint="eastAsia" w:ascii="宋体" w:hAnsi="宋体" w:eastAsia="宋体" w:cs="宋体"/>
                      <w:color w:val="auto"/>
                      <w:sz w:val="21"/>
                      <w:szCs w:val="21"/>
                    </w:rPr>
                    <w:t>3</w:t>
                  </w:r>
                  <w:r>
                    <w:rPr>
                      <w:rFonts w:hint="eastAsia" w:ascii="宋体" w:hAnsi="宋体" w:eastAsia="宋体" w:cs="宋体"/>
                      <w:color w:val="auto"/>
                      <w:spacing w:val="-3"/>
                      <w:sz w:val="21"/>
                      <w:szCs w:val="21"/>
                    </w:rPr>
                    <w:t>毫米厚聚酯玻璃钢防腐防渗漏，使等效黏土防渗层</w:t>
                  </w:r>
                  <w:r>
                    <w:rPr>
                      <w:rFonts w:hint="eastAsia" w:ascii="宋体" w:hAnsi="宋体" w:eastAsia="宋体" w:cs="宋体"/>
                      <w:color w:val="auto"/>
                      <w:sz w:val="21"/>
                      <w:szCs w:val="21"/>
                    </w:rPr>
                    <w:t>Mb≥6.0m，渗透系数≤1×10</w:t>
                  </w:r>
                  <w:r>
                    <w:rPr>
                      <w:rFonts w:hint="eastAsia" w:cs="宋体"/>
                      <w:color w:val="auto"/>
                      <w:sz w:val="21"/>
                      <w:szCs w:val="21"/>
                      <w:vertAlign w:val="superscript"/>
                      <w:lang w:val="en-US" w:eastAsia="zh-CN"/>
                    </w:rPr>
                    <w:t>-10</w:t>
                  </w:r>
                  <w:r>
                    <w:rPr>
                      <w:rFonts w:hint="eastAsia" w:ascii="宋体" w:hAnsi="宋体" w:eastAsia="宋体" w:cs="宋体"/>
                      <w:color w:val="auto"/>
                      <w:sz w:val="21"/>
                      <w:szCs w:val="21"/>
                    </w:rPr>
                    <w:t>cm/s。</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right="0" w:rightChars="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收集池、事故池：采用3毫米厚聚酯玻璃钢防腐防渗漏，使等效黏土防渗层Mb≥6.0m，渗透系数≤1×10</w:t>
                  </w:r>
                  <w:r>
                    <w:rPr>
                      <w:rFonts w:hint="eastAsia" w:cs="宋体"/>
                      <w:color w:val="auto"/>
                      <w:sz w:val="21"/>
                      <w:szCs w:val="21"/>
                      <w:vertAlign w:val="superscript"/>
                      <w:lang w:val="en-US" w:eastAsia="zh-CN"/>
                    </w:rPr>
                    <w:t>-10</w:t>
                  </w:r>
                  <w:r>
                    <w:rPr>
                      <w:rFonts w:hint="eastAsia" w:ascii="宋体" w:hAnsi="宋体" w:eastAsia="宋体" w:cs="宋体"/>
                      <w:color w:val="auto"/>
                      <w:sz w:val="21"/>
                      <w:szCs w:val="21"/>
                    </w:rPr>
                    <w:t>cm/s。</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HW08储罐区设1m围堰、围堰四周设置引流槽和1个收集池；HW49废铅蓄电池暂存区四周分别设置引流槽与1个收集池。仓库中部通道处由南向北设置一条地沟，沿废液设定流动方向设置0.5%的坡度，上覆不锈钢地沟盖板，地沟与事故池连通，仓库内北侧设置1座容积约30m</w:t>
                  </w:r>
                  <w:r>
                    <w:rPr>
                      <w:rFonts w:hint="eastAsia" w:cs="宋体"/>
                      <w:color w:val="auto"/>
                      <w:sz w:val="21"/>
                      <w:szCs w:val="21"/>
                      <w:vertAlign w:val="superscript"/>
                      <w:lang w:val="en-US" w:eastAsia="zh-CN"/>
                    </w:rPr>
                    <w:t>3</w:t>
                  </w:r>
                  <w:r>
                    <w:rPr>
                      <w:rFonts w:hint="eastAsia" w:ascii="宋体" w:hAnsi="宋体" w:eastAsia="宋体" w:cs="宋体"/>
                      <w:color w:val="auto"/>
                      <w:sz w:val="21"/>
                      <w:szCs w:val="21"/>
                    </w:rPr>
                    <w:t>的事故池，消防废水通过地沟排入事故池。泄漏液体通过导流沟引至收集池，收集池和围堰收集的废液不能直接外排，必须妥善转入专用容器中运至有资质单位处理，企业不得自行处理。</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both"/>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3、应急预案：建立健全企业环境风险管理体系，制定突发性事故应急预案，定期举行应急培训。</w:t>
                  </w:r>
                </w:p>
              </w:tc>
              <w:tc>
                <w:tcPr>
                  <w:tcW w:w="57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w:t>
                  </w:r>
                </w:p>
              </w:tc>
            </w:tr>
          </w:tbl>
          <w:p>
            <w:pPr>
              <w:keepNext w:val="0"/>
              <w:keepLines w:val="0"/>
              <w:pageBreakBefore w:val="0"/>
              <w:tabs>
                <w:tab w:val="left" w:pos="0"/>
                <w:tab w:val="left" w:pos="860"/>
                <w:tab w:val="left" w:pos="1070"/>
              </w:tabs>
              <w:kinsoku/>
              <w:wordWrap/>
              <w:overflowPunct/>
              <w:topLinePunct w:val="0"/>
              <w:autoSpaceDE/>
              <w:bidi w:val="0"/>
              <w:spacing w:after="0" w:line="360" w:lineRule="auto"/>
              <w:ind w:left="0" w:leftChars="0" w:right="0" w:rightChars="0" w:firstLine="480" w:firstLineChars="200"/>
              <w:textAlignment w:val="auto"/>
              <w:rPr>
                <w:rFonts w:hint="eastAsia"/>
                <w:color w:val="auto"/>
                <w:sz w:val="24"/>
                <w:lang w:eastAsia="zh-CN"/>
              </w:rPr>
            </w:pPr>
          </w:p>
        </w:tc>
      </w:tr>
    </w:tbl>
    <w:p>
      <w:pPr>
        <w:pStyle w:val="18"/>
        <w:rPr>
          <w:rFonts w:hint="eastAsia"/>
          <w:color w:val="FF0000"/>
          <w:lang w:eastAsia="zh-CN"/>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表四</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25" w:hRule="atLeast"/>
          <w:jc w:val="center"/>
        </w:trPr>
        <w:tc>
          <w:tcPr>
            <w:tcW w:w="9465" w:type="dxa"/>
            <w:noWrap w:val="0"/>
            <w:vAlign w:val="top"/>
          </w:tcPr>
          <w:p>
            <w:pPr>
              <w:keepNext w:val="0"/>
              <w:keepLines w:val="0"/>
              <w:pageBreakBefore w:val="0"/>
              <w:widowControl w:val="0"/>
              <w:kinsoku/>
              <w:wordWrap/>
              <w:overflowPunct/>
              <w:topLinePunct w:val="0"/>
              <w:autoSpaceDE/>
              <w:autoSpaceDN/>
              <w:bidi w:val="0"/>
              <w:adjustRightInd w:val="0"/>
              <w:snapToGrid w:val="0"/>
              <w:spacing w:after="0" w:line="440" w:lineRule="exact"/>
              <w:textAlignment w:val="auto"/>
              <w:rPr>
                <w:rFonts w:hint="default"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二</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环境影响评价补充说明</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保定绿源环保服务有限公司位于保定市蠡县蠡吾镇北漳村，2020年5月保定绿源环保服务有限公司委托河北时泰工程技术有限公司编写了《扩建机动车维修拆解行业危险废物收集存储项目环境影响报告表》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并于2020年9月16日取得环评批复（蠡审环表［2020]24号）。</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项目实际建设过程中，该企业为减少危废灯管的产生，实际建设内容发生一下变更：</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治理措施调整：①原储罐区废气经“储罐呼吸口延长＋车载罐灌装口设置密闭集气罩＋密闭管网＋UV光催化氧化＋两级活性炭吸附装置”，废气经净化处理后经1根15m高排气筒排放；现变更为“储罐呼吸口延长＋车载罐灌装口设置密闭集气罩＋密闭管网＋等离子净化器＋两级活性炭吸附装置”，废气经净化处理后经1根15m高排气筒排放。</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原HW12、HW49(废铅蓄电池除外）类危废仓库产生的废气经“密闭微负压＋集气管道＋UV光催化氧化＋两级活性炭吸附装置”，废气经净化处理后经1根15m高排气筒排放；现变更为废气经“密闭微负压＋集气管道＋等离子净化器＋两级活性炭吸附装置”，废气经净化处理后经1根15m高排气筒排放。</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变更后，建设项目的性质仍为扩建项目，未发生变化；危废储存能力未发生变化，项目规模未发生变化；项目建设地点未发生变化；项目危废储存种类及生产工艺、主要原辅材料均未发生变化，物料运输、装卸、贮存方式未发生变化，项目生产工艺未发生变化；环境保护措施中废气收集方式未发生变化、废气排放方式未发生变化，排气筒高度未发生变化，环境保护措施中为废气治理措施由UV光催化氧化＋两级活性炭吸附装置变更为等离子净化器＋两级活性炭吸附装置，不会导致污染物排放量增加，不属于《污染影响类建设项目重大变动清单（试行）》（环办环评［2020]688号）、《中华人民共和国环境影响评价法》（2016年7月2日二次修正，2016年9月1日施行）等文件规定的重大变动情景，因此遵照河北省环境保护厅办公室《关于进一步做好环境影响补充评价技术审核工作的通知》（冀环办法［2011]222号）的有关规定，利用原环评相关数据，对调整后污染物排放情况进行分析。</w:t>
            </w:r>
          </w:p>
          <w:p>
            <w:pPr>
              <w:keepNext w:val="0"/>
              <w:keepLines w:val="0"/>
              <w:pageBreakBefore w:val="0"/>
              <w:widowControl w:val="0"/>
              <w:kinsoku/>
              <w:wordWrap/>
              <w:overflowPunct/>
              <w:topLinePunct w:val="0"/>
              <w:autoSpaceDE/>
              <w:autoSpaceDN/>
              <w:bidi w:val="0"/>
              <w:adjustRightInd w:val="0"/>
              <w:snapToGrid w:val="0"/>
              <w:spacing w:after="0" w:line="44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储罐区非甲烷总烃产生总量为0. 098t/a;HW12、HW49(废铅蓄电池除外）类危废仓库废气产生量为甲苯0. 03t/a,二甲苯0. 05t/a,非甲烷总烃1. 62t/a;处理效率可达70%,则非甲烷总烃排放量为0. 486t/a、甲苯排放量为0. 009t/a,二甲苯0. 015t/a,与环评批复相比不增加。</w:t>
            </w:r>
          </w:p>
          <w:p>
            <w:pPr>
              <w:keepNext w:val="0"/>
              <w:keepLines w:val="0"/>
              <w:pageBreakBefore w:val="0"/>
              <w:tabs>
                <w:tab w:val="left" w:pos="0"/>
                <w:tab w:val="left" w:pos="860"/>
                <w:tab w:val="left" w:pos="1070"/>
              </w:tabs>
              <w:kinsoku/>
              <w:wordWrap/>
              <w:overflowPunct/>
              <w:topLinePunct w:val="0"/>
              <w:autoSpaceDE/>
              <w:bidi w:val="0"/>
              <w:spacing w:after="0" w:line="360" w:lineRule="auto"/>
              <w:ind w:left="0" w:leftChars="0" w:right="0" w:rightChars="0" w:firstLine="480" w:firstLineChars="200"/>
              <w:textAlignment w:val="auto"/>
              <w:rPr>
                <w:rFonts w:hint="eastAsia"/>
                <w:color w:val="auto"/>
                <w:sz w:val="24"/>
                <w:lang w:eastAsia="zh-CN"/>
              </w:rPr>
            </w:pPr>
          </w:p>
        </w:tc>
      </w:tr>
    </w:tbl>
    <w:p>
      <w:pPr>
        <w:rPr>
          <w:rFonts w:hint="eastAsia" w:ascii="宋体" w:hAnsi="宋体" w:eastAsia="宋体" w:cs="宋体"/>
          <w:b/>
          <w:color w:val="auto"/>
          <w:sz w:val="30"/>
          <w:szCs w:val="30"/>
          <w:lang w:eastAsia="zh-CN"/>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表四</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jc w:val="center"/>
        </w:trPr>
        <w:tc>
          <w:tcPr>
            <w:tcW w:w="9465" w:type="dxa"/>
            <w:noWrap w:val="0"/>
            <w:vAlign w:val="top"/>
          </w:tcPr>
          <w:p>
            <w:pPr>
              <w:tabs>
                <w:tab w:val="left" w:pos="2865"/>
              </w:tabs>
              <w:spacing w:after="0" w:line="360" w:lineRule="auto"/>
              <w:rPr>
                <w:rFonts w:ascii="Times New Roman" w:hAnsi="Times New Roman" w:cs="Times New Roman" w:eastAsiaTheme="minorEastAsia"/>
                <w:b/>
                <w:bCs/>
                <w:color w:val="auto"/>
                <w:sz w:val="24"/>
                <w:szCs w:val="24"/>
              </w:rPr>
            </w:pPr>
            <w:r>
              <w:rPr>
                <w:rFonts w:hint="eastAsia" w:ascii="Times New Roman" w:cs="Times New Roman" w:hAnsiTheme="minorEastAsia" w:eastAsiaTheme="minorEastAsia"/>
                <w:b/>
                <w:bCs/>
                <w:color w:val="auto"/>
                <w:sz w:val="24"/>
                <w:szCs w:val="24"/>
                <w:lang w:val="en-US" w:eastAsia="zh-CN"/>
              </w:rPr>
              <w:t>三</w:t>
            </w:r>
            <w:r>
              <w:rPr>
                <w:rFonts w:ascii="Times New Roman" w:cs="Times New Roman" w:hAnsiTheme="minorEastAsia" w:eastAsiaTheme="minorEastAsia"/>
                <w:b/>
                <w:bCs/>
                <w:color w:val="auto"/>
                <w:sz w:val="24"/>
                <w:szCs w:val="24"/>
              </w:rPr>
              <w:t>、审批部门审批决定</w:t>
            </w:r>
            <w:r>
              <w:rPr>
                <w:rFonts w:ascii="Times New Roman" w:hAnsi="Times New Roman" w:cs="Times New Roman" w:eastAsiaTheme="minorEastAsia"/>
                <w:b/>
                <w:bCs/>
                <w:color w:val="auto"/>
                <w:sz w:val="24"/>
                <w:szCs w:val="24"/>
              </w:rPr>
              <w:tab/>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你单位报送的《保定绿源环保服务有限公司扩建机动车维修拆解行业危险废物收集存储项目环境影响报告表》已收悉，经研究，现批复如下：</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保定绿源环保服务有限公司扩建机动车维修拆解行业危险废物收集存储项目位于河北省保定市蠡县蠡吾镇北漳村西北，中心地理坐标位置为：115˚36</w:t>
            </w:r>
            <w:r>
              <w:rPr>
                <w:rFonts w:hint="default" w:ascii="Calibri" w:hAnsi="Calibri" w:cs="Calibri" w:eastAsia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9.05"，北纬38319.72.项目总投资600万元（环保投资30万元），主要建设内容为危废库房、收集池、事故池等。本项目主要生产设备：15m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储油罐2个、输油泵2个。本项目主要收集保定周边区域、定州、雄安新区内4S店及汽车修理厂等维修、拆解车辆产生的危废，主要包括：HW08废矿物油与含矿物油废物等8类（详见报告表表12）。项目建成后年收集、储存及转运机动车维修拆解过程产生的各类危险废物4万吨，最大储存量为134吨，最长暂存时间为4天。</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通过环境影响评价分析，项目在全面落实报告表提出的各项污染治理设施后，对周围环境的影响可得到有效降低和缓解。从环保角度分析该项目建设可行。因此，我局原则同意你单位按照报告表所列内容建设实施，并做好以下工作：</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冬季采暖采取电力取暖，严禁设置锅炉及其他取暖方式；本项目无新增人员，原有生活污水用于泼洒地面抑尘，不外排；厂区设防渗旱厕，定期清掏用作农肥；事故废水收集入池后沉淀蒸发，不得设置污水排放口。</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危废的性状采取相应的包装，入库后均放置于托盘上暂存于危废仓库。本项目除HW08类危废外，其他危废均不拆包装，不倒罐。项目所产生的废气主要为HW08类危废储罐大小呼吸废气和HW12类、HW49类危废暂存产生的废气。其中储油罐大小呼吸口及车载罐灌装有机废气经“延长各储油罐（2个）呼吸口+车载罐灌装口设置密闭集气罩+密闭管网+UV光催化氧化+两级活性炭吸附装置+1根15m高排气筒（P2）”排放；HW12 、HW49（废铅蓄电池除外）类危废分别设置单独密闭贮存间，废气经“密闭微负压+集气管道+UV光催化氧化+两级活性炭装置+15m高排气筒（P2）”排放；废气排放执行《工业企业挥发性有机物排放控制标准》（DB13/2322-2016）表1其他行业排放限值。HW49类（900-044-49）废铅蓄电池仓库区密闭，废气经“密闭微负压+集气管道+1套碱洗塔+15m排气筒（P3）”排放；废气排放执行《电池工业污染物排放标准》（GB30484-2013）表5新建企业大气污染排放限值，同时满足《大气污染物综合排放标准》（GB16297-1996）表2二级标准。</w:t>
            </w:r>
          </w:p>
          <w:p>
            <w:pPr>
              <w:pStyle w:val="18"/>
              <w:rPr>
                <w:rFonts w:hint="eastAsia"/>
                <w:color w:val="auto"/>
                <w:lang w:eastAsia="zh-CN"/>
              </w:rPr>
            </w:pPr>
          </w:p>
        </w:tc>
      </w:tr>
    </w:tbl>
    <w:p>
      <w:pPr>
        <w:spacing w:after="0" w:line="360" w:lineRule="auto"/>
        <w:rPr>
          <w:rFonts w:hint="eastAsia" w:ascii="Times New Roman" w:cs="Times New Roman" w:hAnsiTheme="minorEastAsia" w:eastAsiaTheme="minorEastAsia"/>
          <w:b/>
          <w:color w:val="FF0000"/>
          <w:sz w:val="28"/>
          <w:szCs w:val="28"/>
          <w:lang w:eastAsia="zh-CN"/>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line="360" w:lineRule="auto"/>
        <w:rPr>
          <w:rFonts w:ascii="Times New Roman" w:hAnsi="Times New Roman" w:cs="Times New Roman" w:eastAsiaTheme="minorEastAsia"/>
          <w:b/>
          <w:color w:val="auto"/>
          <w:sz w:val="28"/>
          <w:szCs w:val="28"/>
        </w:rPr>
      </w:pPr>
      <w:r>
        <w:rPr>
          <w:rFonts w:hint="eastAsia" w:ascii="Times New Roman" w:cs="Times New Roman" w:hAnsiTheme="minorEastAsia" w:eastAsiaTheme="minorEastAsia"/>
          <w:b/>
          <w:color w:val="auto"/>
          <w:sz w:val="28"/>
          <w:szCs w:val="28"/>
          <w:lang w:eastAsia="zh-CN"/>
        </w:rPr>
        <w:t>续</w:t>
      </w:r>
      <w:r>
        <w:rPr>
          <w:rFonts w:ascii="Times New Roman" w:cs="Times New Roman" w:hAnsiTheme="minorEastAsia" w:eastAsiaTheme="minorEastAsia"/>
          <w:b/>
          <w:color w:val="auto"/>
          <w:sz w:val="28"/>
          <w:szCs w:val="28"/>
        </w:rPr>
        <w:t>表四</w:t>
      </w:r>
    </w:p>
    <w:tbl>
      <w:tblPr>
        <w:tblStyle w:val="19"/>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25" w:hRule="atLeast"/>
          <w:jc w:val="center"/>
        </w:trPr>
        <w:tc>
          <w:tcPr>
            <w:tcW w:w="9163" w:type="dxa"/>
          </w:tcPr>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严格按照环评要求落实隔音降噪措施，西厂界噪声执行《工业企业厂界环境噪声排放标准》（GB12348-2008）4类标准，其他厂界执行2类标准。</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项目运行前编制《突发环境事故应急预案》报相关部门。</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禁止实施任何方式的处置工序，禁止建设任何方式处置设施。</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项目收集及转运危险废物须委托有资质单位运输。</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严格落实环评提出的分区防渗措施，并达到规定的防渗系数。</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本项目产生的固废要严格分类储存及处置。一般固废严格按环评要求处置；危险废物暂存于危废间，定期交有有资质单位回收处置，不外排；生活垃圾收集后由环卫部门统一处置。</w:t>
            </w:r>
          </w:p>
          <w:p>
            <w:pPr>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其他环保措施严格按照环评报告表提出的要求落实。</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项目总量控制指标为：SO</w:t>
            </w:r>
            <w:r>
              <w:rPr>
                <w:rFonts w:hint="eastAsia" w:asciiTheme="minorEastAsia" w:hAnsiTheme="minorEastAsia" w:eastAsiaTheme="minorEastAsia" w:cstheme="minorEastAsia"/>
                <w:color w:val="auto"/>
                <w:sz w:val="24"/>
                <w:szCs w:val="24"/>
                <w:vertAlign w:val="subscript"/>
                <w:lang w:val="en-US" w:eastAsia="zh-CN"/>
              </w:rPr>
              <w:t>2</w:t>
            </w:r>
            <w:r>
              <w:rPr>
                <w:rFonts w:hint="eastAsia" w:asciiTheme="minorEastAsia" w:hAnsiTheme="minorEastAsia" w:eastAsiaTheme="minorEastAsia" w:cstheme="minorEastAsia"/>
                <w:color w:val="auto"/>
                <w:sz w:val="24"/>
                <w:szCs w:val="24"/>
                <w:lang w:val="en-US" w:eastAsia="zh-CN"/>
              </w:rPr>
              <w:t>：0t/a，NO</w:t>
            </w:r>
            <w:r>
              <w:rPr>
                <w:rFonts w:hint="eastAsia" w:asciiTheme="minorEastAsia" w:hAnsiTheme="minorEastAsia" w:eastAsiaTheme="minorEastAsia" w:cstheme="minorEastAsia"/>
                <w:color w:val="auto"/>
                <w:sz w:val="24"/>
                <w:szCs w:val="24"/>
                <w:vertAlign w:val="subscript"/>
                <w:lang w:val="en-US" w:eastAsia="zh-CN"/>
              </w:rPr>
              <w:t>X</w:t>
            </w:r>
            <w:r>
              <w:rPr>
                <w:rFonts w:hint="eastAsia" w:asciiTheme="minorEastAsia" w:hAnsiTheme="minorEastAsia" w:eastAsiaTheme="minorEastAsia" w:cstheme="minorEastAsia"/>
                <w:color w:val="auto"/>
                <w:sz w:val="24"/>
                <w:szCs w:val="24"/>
                <w:lang w:val="en-US" w:eastAsia="zh-CN"/>
              </w:rPr>
              <w:t>：0t/a，颗粒物：0t/a，VOC</w:t>
            </w:r>
            <w:r>
              <w:rPr>
                <w:rFonts w:hint="eastAsia" w:asciiTheme="minorEastAsia" w:hAnsiTheme="minorEastAsia" w:eastAsiaTheme="minorEastAsia" w:cstheme="minorEastAsia"/>
                <w:color w:val="auto"/>
                <w:sz w:val="24"/>
                <w:szCs w:val="24"/>
                <w:vertAlign w:val="subscript"/>
                <w:lang w:val="en-US" w:eastAsia="zh-CN"/>
              </w:rPr>
              <w:t>S</w:t>
            </w:r>
            <w:r>
              <w:rPr>
                <w:rFonts w:hint="eastAsia" w:asciiTheme="minorEastAsia" w:hAnsiTheme="minorEastAsia" w:eastAsiaTheme="minorEastAsia" w:cstheme="minorEastAsia"/>
                <w:color w:val="auto"/>
                <w:sz w:val="24"/>
                <w:szCs w:val="24"/>
                <w:lang w:val="en-US" w:eastAsia="zh-CN"/>
              </w:rPr>
              <w:t>：0.687t/a，COD：0t/a，NH</w:t>
            </w:r>
            <w:r>
              <w:rPr>
                <w:rFonts w:hint="eastAsia" w:asciiTheme="minorEastAsia" w:hAnsiTheme="minorEastAsia" w:eastAsiaTheme="minorEastAsia" w:cstheme="minorEastAsia"/>
                <w:color w:val="auto"/>
                <w:sz w:val="24"/>
                <w:szCs w:val="24"/>
                <w:vertAlign w:val="subscript"/>
                <w:lang w:val="en-US" w:eastAsia="zh-CN"/>
              </w:rPr>
              <w:t>3</w:t>
            </w:r>
            <w:r>
              <w:rPr>
                <w:rFonts w:hint="eastAsia" w:asciiTheme="minorEastAsia" w:hAnsiTheme="minorEastAsia" w:eastAsiaTheme="minorEastAsia" w:cstheme="minorEastAsia"/>
                <w:color w:val="auto"/>
                <w:sz w:val="24"/>
                <w:szCs w:val="24"/>
                <w:lang w:val="en-US" w:eastAsia="zh-CN"/>
              </w:rPr>
              <w:t>-N：0t/a，TP：0t/a，TN：0t/a。</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项目建设完成后应按照排污许可管理要求，办理排污许可证，并按照《建设项目环境保护管理条例》（国令第682号）及相关文件要求落实竣工环境保护验收工作。</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本项目设50米卫生防护距离，此范围内严禁规划建设永久性居民区、学校、医院等环境敏感点。</w:t>
            </w:r>
          </w:p>
          <w:p>
            <w:pPr>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项目环保日常监管由蠡吾镇环保所负责。</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textAlignment w:val="auto"/>
              <w:rPr>
                <w:rFonts w:hint="eastAsia" w:ascii="宋体" w:hAnsi="宋体" w:eastAsia="宋体" w:cs="宋体"/>
                <w:color w:val="auto"/>
                <w:sz w:val="24"/>
                <w:szCs w:val="24"/>
                <w:lang w:eastAsia="zh-CN"/>
              </w:rPr>
            </w:pPr>
            <w:r>
              <w:rPr>
                <w:rFonts w:hint="eastAsia" w:asciiTheme="minorEastAsia" w:hAnsiTheme="minorEastAsia" w:eastAsiaTheme="minorEastAsia" w:cstheme="minorEastAsia"/>
                <w:color w:val="auto"/>
                <w:sz w:val="24"/>
                <w:szCs w:val="24"/>
                <w:lang w:val="en-US" w:eastAsia="zh-CN"/>
              </w:rPr>
              <w:t>你单位应在收到本批复7个工作日内，将批准后的环境影响报告表及批复分送保定市生态环境局蠡县分局和蠡吾镇环保所备案，并按规定接受其监督检查。</w:t>
            </w:r>
          </w:p>
          <w:p>
            <w:pPr>
              <w:spacing w:line="360" w:lineRule="auto"/>
              <w:ind w:right="110" w:rightChars="50"/>
              <w:rPr>
                <w:rFonts w:ascii="Times New Roman" w:hAnsi="Times New Roman" w:cs="Times New Roman" w:eastAsiaTheme="minorEastAsia"/>
                <w:color w:val="auto"/>
                <w:sz w:val="24"/>
                <w:szCs w:val="24"/>
              </w:rPr>
            </w:pPr>
          </w:p>
        </w:tc>
      </w:tr>
    </w:tbl>
    <w:p>
      <w:pPr>
        <w:spacing w:line="360" w:lineRule="auto"/>
        <w:rPr>
          <w:rFonts w:ascii="Times New Roman" w:hAnsi="Times New Roman" w:cs="Times New Roman" w:eastAsiaTheme="minorEastAsia"/>
          <w:color w:val="FF0000"/>
          <w:sz w:val="21"/>
          <w:szCs w:val="21"/>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bCs/>
          <w:color w:val="auto"/>
          <w:sz w:val="30"/>
        </w:rPr>
      </w:pPr>
      <w:r>
        <w:rPr>
          <w:rFonts w:hint="eastAsia" w:ascii="宋体" w:hAnsi="宋体" w:eastAsia="宋体" w:cs="宋体"/>
          <w:b/>
          <w:bCs/>
          <w:color w:val="auto"/>
          <w:sz w:val="30"/>
        </w:rPr>
        <w:t>续表四</w:t>
      </w:r>
    </w:p>
    <w:tbl>
      <w:tblPr>
        <w:tblStyle w:val="1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87" w:hRule="atLeast"/>
          <w:jc w:val="center"/>
        </w:trPr>
        <w:tc>
          <w:tcPr>
            <w:tcW w:w="9798" w:type="dxa"/>
            <w:tcBorders>
              <w:bottom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100" w:line="440" w:lineRule="exact"/>
              <w:jc w:val="center"/>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审批意见落实情况表</w:t>
            </w:r>
          </w:p>
          <w:tbl>
            <w:tblPr>
              <w:tblStyle w:val="19"/>
              <w:tblW w:w="962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4"/>
              <w:gridCol w:w="4708"/>
              <w:gridCol w:w="44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审批意见</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落实情况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保定绿源环保服务有限公司扩建机动车维修拆解行业危险废物收集存储项目位于河北省保定市蠡县蠡吾镇北漳村西北，中心地理坐标位置为：115˚36'9.05"，北纬38319.72.项目总投资600万元（环保投资30万元），主要建设内容为危废库房、收集池、事故池等。本项目主要生产设备：15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储油罐2个、输油泵2个。本项目主要</w:t>
                  </w:r>
                  <w:r>
                    <w:rPr>
                      <w:rFonts w:hint="eastAsia" w:ascii="Times New Roman" w:hAnsi="Times New Roman" w:eastAsia="宋体" w:cs="Times New Roman"/>
                      <w:color w:val="auto"/>
                      <w:sz w:val="21"/>
                      <w:szCs w:val="21"/>
                      <w:lang w:val="en-US" w:eastAsia="zh-CN"/>
                    </w:rPr>
                    <w:t>收集</w:t>
                  </w:r>
                  <w:r>
                    <w:rPr>
                      <w:rFonts w:hint="default" w:ascii="Times New Roman" w:hAnsi="Times New Roman" w:eastAsia="宋体" w:cs="Times New Roman"/>
                      <w:color w:val="auto"/>
                      <w:sz w:val="21"/>
                      <w:szCs w:val="21"/>
                      <w:lang w:val="en-US" w:eastAsia="zh-CN"/>
                    </w:rPr>
                    <w:t>保定周边区域、定州、雄安新区内4S店及汽车修理厂等维修、拆解车辆产生的危废，主要包括：HW08废矿物油与含矿物油废物等8类（详见报告表表12）。项目建成后年收集、储存及转运机动车维修拆解过程产生的各类危险废物4万吨，最大储存量为134吨，最长暂存时间为4天。</w:t>
                  </w:r>
                </w:p>
              </w:tc>
              <w:tc>
                <w:tcPr>
                  <w:tcW w:w="231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both"/>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保定绿源环保服务有限公司扩建机动车维修拆解行业危险废物收集存储项目位于河北省保定市蠡县蠡吾镇北漳村西北，中心地理坐标位置为：115˚36'9.05"，北纬38319.72.项目总投资600万元（环保投资</w:t>
                  </w: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lang w:val="en-US" w:eastAsia="zh-CN"/>
                    </w:rPr>
                    <w:t>万元），主要建设内容为危废库房、收集池、事故池等。本项目主要生产设备：15m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储油罐2个、输油泵2个。本项目主要</w:t>
                  </w:r>
                  <w:r>
                    <w:rPr>
                      <w:rFonts w:hint="eastAsia" w:ascii="Times New Roman" w:hAnsi="Times New Roman" w:eastAsia="宋体" w:cs="Times New Roman"/>
                      <w:color w:val="auto"/>
                      <w:sz w:val="21"/>
                      <w:szCs w:val="21"/>
                      <w:lang w:val="en-US" w:eastAsia="zh-CN"/>
                    </w:rPr>
                    <w:t>收集</w:t>
                  </w:r>
                  <w:r>
                    <w:rPr>
                      <w:rFonts w:hint="default" w:ascii="Times New Roman" w:hAnsi="Times New Roman" w:eastAsia="宋体" w:cs="Times New Roman"/>
                      <w:color w:val="auto"/>
                      <w:sz w:val="21"/>
                      <w:szCs w:val="21"/>
                      <w:lang w:val="en-US" w:eastAsia="zh-CN"/>
                    </w:rPr>
                    <w:t>保定周边区域、定州、雄安新区内4S店及汽车修理厂等维修、拆解车辆产生的危废，主要包括：HW08废矿物油与含矿物油废物等</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类。项目建成后收集、储存及转运机动车维修拆解过程产生的各类危险废物</w:t>
                  </w:r>
                  <w:r>
                    <w:rPr>
                      <w:rFonts w:hint="eastAsia" w:ascii="Times New Roman" w:hAnsi="Times New Roman" w:eastAsia="宋体" w:cs="Times New Roman"/>
                      <w:color w:val="auto"/>
                      <w:sz w:val="21"/>
                      <w:szCs w:val="21"/>
                      <w:lang w:val="en-US" w:eastAsia="zh-CN"/>
                    </w:rPr>
                    <w:t>30500</w:t>
                  </w:r>
                  <w:r>
                    <w:rPr>
                      <w:rFonts w:hint="default" w:ascii="Times New Roman" w:hAnsi="Times New Roman" w:eastAsia="宋体" w:cs="Times New Roman"/>
                      <w:color w:val="auto"/>
                      <w:sz w:val="21"/>
                      <w:szCs w:val="21"/>
                      <w:lang w:val="en-US" w:eastAsia="zh-CN"/>
                    </w:rPr>
                    <w:t>吨</w:t>
                  </w:r>
                  <w:r>
                    <w:rPr>
                      <w:rFonts w:hint="eastAsia" w:ascii="Times New Roman" w:hAnsi="Times New Roman" w:eastAsia="宋体" w:cs="Times New Roman"/>
                      <w:color w:val="auto"/>
                      <w:sz w:val="21"/>
                      <w:szCs w:val="21"/>
                      <w:lang w:val="en-US" w:eastAsia="zh-CN"/>
                    </w:rPr>
                    <w:t>/年</w:t>
                  </w:r>
                  <w:r>
                    <w:rPr>
                      <w:rFonts w:hint="default" w:ascii="Times New Roman" w:hAnsi="Times New Roman" w:eastAsia="宋体" w:cs="Times New Roman"/>
                      <w:color w:val="auto"/>
                      <w:sz w:val="21"/>
                      <w:szCs w:val="21"/>
                      <w:lang w:val="en-US" w:eastAsia="zh-CN"/>
                    </w:rPr>
                    <w:t>，最大储存量为</w:t>
                  </w:r>
                  <w:r>
                    <w:rPr>
                      <w:rFonts w:hint="eastAsia" w:ascii="Times New Roman" w:hAnsi="Times New Roman" w:eastAsia="宋体" w:cs="Times New Roman"/>
                      <w:color w:val="auto"/>
                      <w:sz w:val="21"/>
                      <w:szCs w:val="21"/>
                      <w:lang w:val="en-US" w:eastAsia="zh-CN"/>
                    </w:rPr>
                    <w:t>96</w:t>
                  </w:r>
                  <w:r>
                    <w:rPr>
                      <w:rFonts w:hint="default" w:ascii="Times New Roman" w:hAnsi="Times New Roman" w:eastAsia="宋体" w:cs="Times New Roman"/>
                      <w:color w:val="auto"/>
                      <w:sz w:val="21"/>
                      <w:szCs w:val="21"/>
                      <w:lang w:val="en-US" w:eastAsia="zh-CN"/>
                    </w:rPr>
                    <w:t>吨，最长暂存时间为4天。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冬季采暖采取电力取暖，严禁设置锅炉及其他取暖方式；本项目无新增人员，原有生活污水用于泼洒地面抑尘，不外排；厂区设防渗旱厕，定期清掏用作农肥；事故废水收集入池后沉淀蒸发，不得设置污水排放口。</w:t>
                  </w:r>
                </w:p>
              </w:tc>
              <w:tc>
                <w:tcPr>
                  <w:tcW w:w="2319" w:type="pct"/>
                  <w:noWrap w:val="0"/>
                  <w:vAlign w:val="center"/>
                </w:tcPr>
                <w:p>
                  <w:pPr>
                    <w:keepNext w:val="0"/>
                    <w:keepLines w:val="0"/>
                    <w:pageBreakBefore w:val="0"/>
                    <w:widowControl w:val="0"/>
                    <w:numPr>
                      <w:ilvl w:val="0"/>
                      <w:numId w:val="0"/>
                    </w:numPr>
                    <w:tabs>
                      <w:tab w:val="left" w:pos="2252"/>
                    </w:tabs>
                    <w:kinsoku/>
                    <w:wordWrap/>
                    <w:overflowPunct/>
                    <w:topLinePunct w:val="0"/>
                    <w:autoSpaceDE/>
                    <w:autoSpaceDN/>
                    <w:bidi w:val="0"/>
                    <w:adjustRightInd w:val="0"/>
                    <w:snapToGrid w:val="0"/>
                    <w:spacing w:after="0" w:line="240" w:lineRule="auto"/>
                    <w:ind w:left="11" w:leftChars="5" w:right="11" w:rightChars="5" w:firstLine="0" w:firstLineChars="0"/>
                    <w:jc w:val="both"/>
                    <w:textAlignment w:val="auto"/>
                    <w:outlineLvl w:val="9"/>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项目冬季采暖采取电力取暖，</w:t>
                  </w:r>
                  <w:r>
                    <w:rPr>
                      <w:rFonts w:hint="eastAsia" w:ascii="Times New Roman" w:hAnsi="Times New Roman" w:eastAsia="宋体" w:cs="Times New Roman"/>
                      <w:color w:val="auto"/>
                      <w:sz w:val="21"/>
                      <w:szCs w:val="21"/>
                      <w:lang w:val="en-US" w:eastAsia="zh-CN"/>
                    </w:rPr>
                    <w:t>厂区内未</w:t>
                  </w:r>
                  <w:r>
                    <w:rPr>
                      <w:rFonts w:hint="default" w:ascii="Times New Roman" w:hAnsi="Times New Roman" w:eastAsia="宋体" w:cs="Times New Roman"/>
                      <w:color w:val="auto"/>
                      <w:sz w:val="21"/>
                      <w:szCs w:val="21"/>
                      <w:lang w:val="en-US" w:eastAsia="zh-CN"/>
                    </w:rPr>
                    <w:t>设置锅炉及其他取暖方式；本项目无新增人员，原有生活污水用于泼洒地面抑尘，不外排；厂区设防渗旱厕，定期清掏用作农肥；事故废水收集入池后沉淀蒸发，</w:t>
                  </w:r>
                  <w:r>
                    <w:rPr>
                      <w:rFonts w:hint="eastAsia" w:ascii="Times New Roman" w:hAnsi="Times New Roman" w:eastAsia="宋体" w:cs="Times New Roman"/>
                      <w:color w:val="auto"/>
                      <w:sz w:val="21"/>
                      <w:szCs w:val="21"/>
                      <w:lang w:val="en-US" w:eastAsia="zh-CN"/>
                    </w:rPr>
                    <w:t>未</w:t>
                  </w:r>
                  <w:r>
                    <w:rPr>
                      <w:rFonts w:hint="default" w:ascii="Times New Roman" w:hAnsi="Times New Roman" w:eastAsia="宋体" w:cs="Times New Roman"/>
                      <w:color w:val="auto"/>
                      <w:sz w:val="21"/>
                      <w:szCs w:val="21"/>
                      <w:lang w:val="en-US" w:eastAsia="zh-CN"/>
                    </w:rPr>
                    <w:t>设置污水排放口。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据危废的性状采取相应的包装，入库后均放置于托盘上暂存于危废仓库。本项目除HW08类危废外，其他危废均不拆包装，不倒罐。项目所产生的废气主要为HW08类危废储罐大小呼吸废气和HW12类、HW49类危废暂存产生的废气。其中储油罐大小呼吸口及车载罐灌装有机废气经</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延长各储油罐（2个）呼吸口+车载罐灌装口设置密闭集气罩+密闭管网+UV光催化氧化+两级活性炭吸附装置+1根15m高排气筒（P2）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排放；HW12 、HW49（废铅蓄电池除外）类危废分别设置单独密闭贮存间，废气经</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密闭微负压+集气管道+UV光催化氧化+两级活性炭装置+15m高排气筒（P2）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排放；废气排放执行《工业企业挥发性有机物排放控制标准》（DB13/2322-2016）表1其他行业排放限值。HW49类（900-044-49）废铅蓄电池仓库区密闭，废气经“密闭微负压+集气管道+1套碱洗塔+15m排气筒（P3）”排放；废气排放执行《电池工业污染物排放标准》（GB30484-2013）表5新建企业大气污染排放限值，同时满足《大气污染物综合排放标准》（GB16297-1996）表2二级标准。</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不再进行铅酸蓄电池的暂存与转运，不会产生硫酸雾，项目储罐呼吸废气、危废暂存废气经收集后引入一套“等离子净化器+两级活性炭吸附装置”废气治理设施，处理后，经1根15米高排气筒排放。经检测，项目有组织废气排放浓度达到《工业企业挥发性有机物排放控制标准》（DB13/2322-2016）表1其他行业排放限值，表 2 企业边界大气污染物浓度限值，无组织非甲烷总烃排放浓度同时满足《挥发性有机物无组织排放控制标准》（GB37822-2019）中的无组织特别排放限值要求</w:t>
                  </w:r>
                  <w:r>
                    <w:rPr>
                      <w:rFonts w:hint="eastAsia"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严格按照环评要求落实隔音降噪措施，西厂界噪声执行《工业企业厂界环境噪声排放标准》（GB12348-2008）4类标准，其他厂界执行2类标准。</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与审批意见一致，经检测，</w:t>
                  </w:r>
                  <w:r>
                    <w:rPr>
                      <w:rFonts w:hint="default" w:ascii="Times New Roman" w:hAnsi="Times New Roman" w:eastAsia="宋体" w:cs="Times New Roman"/>
                      <w:color w:val="auto"/>
                      <w:sz w:val="21"/>
                      <w:szCs w:val="21"/>
                      <w:lang w:val="en-US" w:eastAsia="zh-CN"/>
                    </w:rPr>
                    <w:t>西厂界</w:t>
                  </w:r>
                  <w:r>
                    <w:rPr>
                      <w:rFonts w:hint="eastAsia" w:cs="Times New Roman"/>
                      <w:color w:val="auto"/>
                      <w:sz w:val="21"/>
                      <w:szCs w:val="21"/>
                      <w:lang w:val="en-US" w:eastAsia="zh-CN"/>
                    </w:rPr>
                    <w:t>昼、夜间</w:t>
                  </w:r>
                  <w:r>
                    <w:rPr>
                      <w:rFonts w:hint="default" w:ascii="Times New Roman" w:hAnsi="Times New Roman" w:eastAsia="宋体" w:cs="Times New Roman"/>
                      <w:color w:val="auto"/>
                      <w:sz w:val="21"/>
                      <w:szCs w:val="21"/>
                      <w:lang w:val="en-US" w:eastAsia="zh-CN"/>
                    </w:rPr>
                    <w:t>噪声</w:t>
                  </w:r>
                  <w:r>
                    <w:rPr>
                      <w:rFonts w:hint="eastAsia" w:cs="Times New Roman"/>
                      <w:color w:val="auto"/>
                      <w:sz w:val="21"/>
                      <w:szCs w:val="21"/>
                      <w:lang w:val="en-US" w:eastAsia="zh-CN"/>
                    </w:rPr>
                    <w:t>达到</w:t>
                  </w:r>
                  <w:r>
                    <w:rPr>
                      <w:rFonts w:hint="default" w:ascii="Times New Roman" w:hAnsi="Times New Roman" w:eastAsia="宋体" w:cs="Times New Roman"/>
                      <w:color w:val="auto"/>
                      <w:sz w:val="21"/>
                      <w:szCs w:val="21"/>
                      <w:lang w:val="en-US" w:eastAsia="zh-CN"/>
                    </w:rPr>
                    <w:t>《工业企业厂界环境噪声排放标准》（GB12348-2008）4类标准，其他厂界</w:t>
                  </w:r>
                  <w:r>
                    <w:rPr>
                      <w:rFonts w:hint="eastAsia" w:cs="Times New Roman"/>
                      <w:color w:val="auto"/>
                      <w:sz w:val="21"/>
                      <w:szCs w:val="21"/>
                      <w:lang w:val="en-US" w:eastAsia="zh-CN"/>
                    </w:rPr>
                    <w:t>昼、夜间噪声达到</w:t>
                  </w:r>
                  <w:r>
                    <w:rPr>
                      <w:rFonts w:hint="default" w:ascii="Times New Roman" w:hAnsi="Times New Roman" w:eastAsia="宋体" w:cs="Times New Roman"/>
                      <w:color w:val="auto"/>
                      <w:sz w:val="21"/>
                      <w:szCs w:val="21"/>
                      <w:lang w:val="en-US" w:eastAsia="zh-CN"/>
                    </w:rPr>
                    <w:t>2类标准。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项目运行前编制《突发环境事故应急预案》报相关部门</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企业编制《突发环境事件应急预案》，并已备案，备案编号130635-2020-032L</w:t>
                  </w:r>
                  <w:r>
                    <w:rPr>
                      <w:rFonts w:hint="eastAsia"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禁止实施任何方式的处置工序，禁止建设任何方式处置设施</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项目仅进行危险废物暂存，处置工作交由有资质单位进行，并与其签订危废处置合同（见附件）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严格落实环评提出的分区防渗措施，并达到规定的防渗系数。</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根据企业施工方案（保定安邦建筑装饰工程有限公司），厂区内库房地面、水池、地沟采用三布七油防腐、防渗措施。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本项目产生的固废要严格分类储存及处置。一般固废严格按环评要求处置；危险废物暂存于危废间，定期交有有资质单位回收处置，不外排；生活垃圾收集后由环卫部门统一处置。</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项目危险废物</w:t>
                  </w:r>
                  <w:r>
                    <w:rPr>
                      <w:rFonts w:hint="default" w:ascii="Times New Roman" w:hAnsi="Times New Roman" w:eastAsia="宋体" w:cs="Times New Roman"/>
                      <w:color w:val="auto"/>
                      <w:sz w:val="21"/>
                      <w:szCs w:val="21"/>
                      <w:lang w:val="en-US" w:eastAsia="zh-CN"/>
                    </w:rPr>
                    <w:t>暂存于危废间，定期交有有资质单位回收处置</w:t>
                  </w:r>
                  <w:r>
                    <w:rPr>
                      <w:rFonts w:hint="eastAsia" w:cs="Times New Roman"/>
                      <w:color w:val="auto"/>
                      <w:sz w:val="21"/>
                      <w:szCs w:val="21"/>
                      <w:lang w:val="en-US" w:eastAsia="zh-CN"/>
                    </w:rPr>
                    <w:t>，危废处置合同见附件。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23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1" w:leftChars="5" w:right="11" w:rightChars="5"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2444"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项目总量控制指标为：SO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：0t/a，NO</w:t>
                  </w:r>
                  <w:r>
                    <w:rPr>
                      <w:rFonts w:hint="default"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lang w:val="en-US" w:eastAsia="zh-CN"/>
                    </w:rPr>
                    <w:t>：0t/a，颗粒物：0t/a，VOC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：0.687t/a，COD：0t/a，NH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-N：0t/a，TP：0t/a，TN：0t/a。</w:t>
                  </w:r>
                </w:p>
              </w:tc>
              <w:tc>
                <w:tcPr>
                  <w:tcW w:w="2319"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11" w:leftChars="5" w:right="11" w:rightChars="5"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经计算得项目污染物排放总量为：</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：0t/a，NO</w:t>
                  </w:r>
                  <w:r>
                    <w:rPr>
                      <w:rFonts w:hint="default"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lang w:val="en-US" w:eastAsia="zh-CN"/>
                    </w:rPr>
                    <w:t>：0t/a，颗粒物：0t/a，VOC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0.024</w:t>
                  </w:r>
                  <w:r>
                    <w:rPr>
                      <w:rFonts w:hint="default" w:ascii="Times New Roman" w:hAnsi="Times New Roman" w:eastAsia="宋体" w:cs="Times New Roman"/>
                      <w:color w:val="auto"/>
                      <w:sz w:val="21"/>
                      <w:szCs w:val="21"/>
                      <w:lang w:val="en-US" w:eastAsia="zh-CN"/>
                    </w:rPr>
                    <w:t>t/a，COD：0t/a，NH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-N：0t/a，TP：0t/a，TN：0t/a</w:t>
                  </w:r>
                  <w:r>
                    <w:rPr>
                      <w:rFonts w:hint="eastAsia" w:cs="Times New Roman"/>
                      <w:color w:val="auto"/>
                      <w:sz w:val="21"/>
                      <w:szCs w:val="21"/>
                      <w:lang w:val="en-US" w:eastAsia="zh-CN"/>
                    </w:rPr>
                    <w:t>.达到审批意见总量控制要求。</w:t>
                  </w:r>
                </w:p>
              </w:tc>
            </w:tr>
          </w:tbl>
          <w:p>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textAlignment w:val="auto"/>
              <w:rPr>
                <w:rFonts w:hint="eastAsia" w:ascii="宋体" w:hAnsi="宋体" w:eastAsia="宋体" w:cs="宋体"/>
                <w:bCs/>
                <w:color w:val="FF0000"/>
                <w:sz w:val="21"/>
                <w:szCs w:val="21"/>
              </w:rPr>
            </w:pPr>
          </w:p>
        </w:tc>
      </w:tr>
    </w:tbl>
    <w:p>
      <w:pPr>
        <w:rPr>
          <w:rFonts w:hint="eastAsia"/>
          <w:b/>
          <w:bCs/>
          <w:color w:val="FF0000"/>
          <w:sz w:val="30"/>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ascii="宋体" w:hAnsi="宋体" w:eastAsia="宋体" w:cs="宋体"/>
          <w:b/>
          <w:bCs/>
          <w:color w:val="auto"/>
          <w:sz w:val="30"/>
        </w:rPr>
      </w:pPr>
      <w:r>
        <w:rPr>
          <w:rFonts w:hint="eastAsia" w:ascii="宋体" w:hAnsi="宋体" w:eastAsia="宋体" w:cs="宋体"/>
          <w:b/>
          <w:bCs/>
          <w:color w:val="auto"/>
          <w:sz w:val="30"/>
        </w:rPr>
        <w:t>续表四</w:t>
      </w:r>
    </w:p>
    <w:tbl>
      <w:tblPr>
        <w:tblStyle w:val="19"/>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0" w:hRule="atLeast"/>
          <w:jc w:val="center"/>
        </w:trPr>
        <w:tc>
          <w:tcPr>
            <w:tcW w:w="9407" w:type="dxa"/>
            <w:noWrap w:val="0"/>
            <w:vAlign w:val="top"/>
          </w:tcPr>
          <w:p>
            <w:pPr>
              <w:keepNext w:val="0"/>
              <w:keepLines w:val="0"/>
              <w:pageBreakBefore w:val="0"/>
              <w:widowControl/>
              <w:kinsoku/>
              <w:wordWrap/>
              <w:overflowPunct/>
              <w:topLinePunct w:val="0"/>
              <w:autoSpaceDE/>
              <w:autoSpaceDN/>
              <w:bidi w:val="0"/>
              <w:adjustRightInd w:val="0"/>
              <w:snapToGrid w:val="0"/>
              <w:spacing w:after="100" w:line="440" w:lineRule="exact"/>
              <w:jc w:val="center"/>
              <w:textAlignment w:val="auto"/>
              <w:rPr>
                <w:rFonts w:hint="eastAsia" w:ascii="宋体" w:hAnsi="宋体" w:eastAsia="宋体" w:cs="宋体"/>
                <w:b/>
                <w:bCs w:val="0"/>
                <w:color w:val="auto"/>
                <w:sz w:val="24"/>
              </w:rPr>
            </w:pPr>
            <w:r>
              <w:rPr>
                <w:rFonts w:hint="eastAsia" w:ascii="宋体" w:hAnsi="宋体" w:eastAsia="宋体" w:cs="宋体"/>
                <w:b/>
                <w:bCs w:val="0"/>
                <w:color w:val="auto"/>
                <w:sz w:val="24"/>
                <w:szCs w:val="24"/>
              </w:rPr>
              <w:t>竣工环保验收</w:t>
            </w:r>
            <w:r>
              <w:rPr>
                <w:rFonts w:hint="eastAsia" w:ascii="宋体" w:hAnsi="宋体" w:eastAsia="宋体" w:cs="宋体"/>
                <w:b/>
                <w:bCs w:val="0"/>
                <w:color w:val="auto"/>
                <w:sz w:val="24"/>
                <w:szCs w:val="24"/>
                <w:lang w:eastAsia="zh-CN"/>
              </w:rPr>
              <w:t>“三同时”</w:t>
            </w:r>
            <w:r>
              <w:rPr>
                <w:rFonts w:hint="eastAsia" w:ascii="宋体" w:hAnsi="宋体" w:eastAsia="宋体" w:cs="宋体"/>
                <w:b/>
                <w:bCs w:val="0"/>
                <w:color w:val="auto"/>
                <w:sz w:val="24"/>
                <w:lang w:eastAsia="zh-CN"/>
              </w:rPr>
              <w:t>落实情况</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708"/>
              <w:gridCol w:w="883"/>
              <w:gridCol w:w="2013"/>
              <w:gridCol w:w="1107"/>
              <w:gridCol w:w="1714"/>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93" w:type="pct"/>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污染源</w:t>
                  </w:r>
                </w:p>
              </w:tc>
              <w:tc>
                <w:tcPr>
                  <w:tcW w:w="48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污染物</w:t>
                  </w:r>
                </w:p>
              </w:tc>
              <w:tc>
                <w:tcPr>
                  <w:tcW w:w="1097"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防治措施</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标准限值</w:t>
                  </w:r>
                </w:p>
              </w:tc>
              <w:tc>
                <w:tcPr>
                  <w:tcW w:w="934"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验收标准</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废气</w:t>
                  </w:r>
                </w:p>
              </w:tc>
              <w:tc>
                <w:tcPr>
                  <w:tcW w:w="385"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储罐呼吸废气</w:t>
                  </w:r>
                </w:p>
              </w:tc>
              <w:tc>
                <w:tcPr>
                  <w:tcW w:w="48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非甲烷总烃</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 w:val="21"/>
                    </w:rPr>
                    <w:t>延长各储油罐呼吸口+车载罐灌装口设置密闭集气罩+密闭管网+UV光氧+两级活性炭吸附</w:t>
                  </w:r>
                </w:p>
              </w:tc>
              <w:tc>
                <w:tcPr>
                  <w:tcW w:w="60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≤80mg/m</w:t>
                  </w:r>
                  <w:r>
                    <w:rPr>
                      <w:rFonts w:hint="default" w:ascii="Times New Roman" w:hAnsi="Times New Roman" w:eastAsia="宋体" w:cs="Times New Roman"/>
                      <w:color w:val="auto"/>
                      <w:position w:val="7"/>
                      <w:sz w:val="13"/>
                    </w:rPr>
                    <w:t>3</w:t>
                  </w:r>
                </w:p>
              </w:tc>
              <w:tc>
                <w:tcPr>
                  <w:tcW w:w="934" w:type="pct"/>
                  <w:vMerge w:val="restar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《工业企业挥发性有机物排放控制标准》（DB13/2322-2016）表 2 企业边界大气污染物浓度限值</w:t>
                  </w:r>
                </w:p>
              </w:tc>
              <w:tc>
                <w:tcPr>
                  <w:tcW w:w="1291" w:type="pct"/>
                  <w:vMerge w:val="restar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both"/>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项目</w:t>
                  </w:r>
                  <w:r>
                    <w:rPr>
                      <w:rFonts w:hint="default" w:ascii="Times New Roman" w:hAnsi="Times New Roman" w:eastAsia="宋体" w:cs="Times New Roman"/>
                      <w:color w:val="auto"/>
                      <w:sz w:val="21"/>
                      <w:lang w:val="en-US" w:eastAsia="zh-CN"/>
                    </w:rPr>
                    <w:t>储罐呼吸废气</w:t>
                  </w:r>
                  <w:r>
                    <w:rPr>
                      <w:rFonts w:hint="eastAsia"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lang w:val="en-US" w:eastAsia="zh-CN"/>
                    </w:rPr>
                    <w:t>危废暂存</w:t>
                  </w:r>
                  <w:r>
                    <w:rPr>
                      <w:rFonts w:hint="eastAsia" w:ascii="Times New Roman" w:hAnsi="Times New Roman" w:eastAsia="宋体" w:cs="Times New Roman"/>
                      <w:color w:val="auto"/>
                      <w:sz w:val="21"/>
                      <w:lang w:val="en-US" w:eastAsia="zh-CN"/>
                    </w:rPr>
                    <w:t>废气经收集后引入一套“等离子净化器+两级活性炭吸附装置”废气治理设施，处理后，经1根15米高排气筒排放。经检测，项目有组织废气排放浓度达到</w:t>
                  </w:r>
                  <w:r>
                    <w:rPr>
                      <w:rFonts w:hint="default" w:ascii="Times New Roman" w:hAnsi="Times New Roman" w:eastAsia="宋体" w:cs="Times New Roman"/>
                      <w:color w:val="auto"/>
                      <w:sz w:val="21"/>
                      <w:lang w:eastAsia="zh-CN"/>
                    </w:rPr>
                    <w:t>《工业企业挥发性有机物排放控制标准》（DB13/2322-2016）</w:t>
                  </w:r>
                  <w:r>
                    <w:rPr>
                      <w:rFonts w:hint="eastAsia" w:ascii="Times New Roman" w:hAnsi="Times New Roman" w:eastAsia="宋体" w:cs="Times New Roman"/>
                      <w:color w:val="auto"/>
                      <w:sz w:val="21"/>
                      <w:lang w:val="en-US" w:eastAsia="zh-CN"/>
                    </w:rPr>
                    <w:t>表1其他行业排放限值，</w:t>
                  </w:r>
                  <w:r>
                    <w:rPr>
                      <w:rFonts w:hint="default" w:ascii="Times New Roman" w:hAnsi="Times New Roman" w:eastAsia="宋体" w:cs="Times New Roman"/>
                      <w:color w:val="auto"/>
                      <w:sz w:val="21"/>
                      <w:lang w:eastAsia="zh-CN"/>
                    </w:rPr>
                    <w:t>表 2 企业边界大气污染物浓度限值</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无组织非甲烷总烃排放浓度同时满足《挥发性有机物无组织排放控制标准》（GB37822-2019）中的无组织特别排放限值要求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危废暂存</w:t>
                  </w:r>
                </w:p>
              </w:tc>
              <w:tc>
                <w:tcPr>
                  <w:tcW w:w="48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非甲烷总烃</w:t>
                  </w:r>
                </w:p>
              </w:tc>
              <w:tc>
                <w:tcPr>
                  <w:tcW w:w="109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仓库密闭，在隔间顶部设置集气管道，收集的废气与储罐废气共同经一套 UV 光氧+两级活性炭吸附</w:t>
                  </w:r>
                </w:p>
              </w:tc>
              <w:tc>
                <w:tcPr>
                  <w:tcW w:w="60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934" w:type="pct"/>
                  <w:vMerge w:val="continue"/>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p>
              </w:tc>
              <w:tc>
                <w:tcPr>
                  <w:tcW w:w="1291" w:type="pct"/>
                  <w:vMerge w:val="continue"/>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48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甲苯</w:t>
                  </w:r>
                </w:p>
              </w:tc>
              <w:tc>
                <w:tcPr>
                  <w:tcW w:w="109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60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≤40mg/m</w:t>
                  </w:r>
                  <w:r>
                    <w:rPr>
                      <w:rFonts w:hint="default" w:ascii="Times New Roman" w:hAnsi="Times New Roman" w:eastAsia="宋体" w:cs="Times New Roman"/>
                      <w:color w:val="auto"/>
                      <w:position w:val="7"/>
                      <w:sz w:val="13"/>
                    </w:rPr>
                    <w:t>3</w:t>
                  </w:r>
                </w:p>
              </w:tc>
              <w:tc>
                <w:tcPr>
                  <w:tcW w:w="934" w:type="pct"/>
                  <w:vMerge w:val="continue"/>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p>
              </w:tc>
              <w:tc>
                <w:tcPr>
                  <w:tcW w:w="1291" w:type="pct"/>
                  <w:vMerge w:val="continue"/>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48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二甲苯</w:t>
                  </w:r>
                </w:p>
              </w:tc>
              <w:tc>
                <w:tcPr>
                  <w:tcW w:w="109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60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934" w:type="pct"/>
                  <w:vMerge w:val="continue"/>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p>
              </w:tc>
              <w:tc>
                <w:tcPr>
                  <w:tcW w:w="1291" w:type="pct"/>
                  <w:vMerge w:val="continue"/>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危废暂存</w:t>
                  </w:r>
                </w:p>
              </w:tc>
              <w:tc>
                <w:tcPr>
                  <w:tcW w:w="481"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硫酸雾</w:t>
                  </w:r>
                </w:p>
              </w:tc>
              <w:tc>
                <w:tcPr>
                  <w:tcW w:w="1097"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硫酸雾经风机引入碱洗塔</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≤5mg/m</w:t>
                  </w:r>
                  <w:r>
                    <w:rPr>
                      <w:rFonts w:hint="default" w:ascii="Times New Roman" w:hAnsi="Times New Roman" w:eastAsia="宋体" w:cs="Times New Roman"/>
                      <w:color w:val="auto"/>
                      <w:position w:val="7"/>
                      <w:sz w:val="13"/>
                    </w:rPr>
                    <w:t>3</w:t>
                  </w:r>
                </w:p>
              </w:tc>
              <w:tc>
                <w:tcPr>
                  <w:tcW w:w="934"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《电池工业污染物排放标准》（GB30484-2013）表 5 新建企业边界大气污染物排放限值及《大气污染物综合排放标准》(GB19297-1996)</w:t>
                  </w:r>
                  <w:r>
                    <w:rPr>
                      <w:rFonts w:hint="default" w:ascii="Times New Roman" w:hAnsi="Times New Roman" w:eastAsia="宋体" w:cs="Times New Roman"/>
                      <w:color w:val="auto"/>
                      <w:sz w:val="21"/>
                      <w:lang w:val="en-US" w:eastAsia="zh-CN"/>
                    </w:rPr>
                    <w:t>表</w:t>
                  </w:r>
                  <w:r>
                    <w:rPr>
                      <w:rFonts w:hint="default" w:ascii="Times New Roman" w:hAnsi="Times New Roman" w:eastAsia="宋体" w:cs="Times New Roman"/>
                      <w:color w:val="auto"/>
                      <w:sz w:val="21"/>
                      <w:lang w:eastAsia="zh-CN"/>
                    </w:rPr>
                    <w:t>2 二级标准</w:t>
                  </w:r>
                </w:p>
              </w:tc>
              <w:tc>
                <w:tcPr>
                  <w:tcW w:w="129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val="en-US" w:eastAsia="zh-CN"/>
                    </w:rPr>
                    <w:t>项目不再进行铅酸蓄电池的暂存与转运，不</w:t>
                  </w:r>
                  <w:r>
                    <w:rPr>
                      <w:rFonts w:hint="eastAsia" w:ascii="Times New Roman" w:hAnsi="Times New Roman" w:cs="Times New Roman"/>
                      <w:color w:val="auto"/>
                      <w:sz w:val="21"/>
                      <w:lang w:val="en-US" w:eastAsia="zh-CN"/>
                    </w:rPr>
                    <w:t>会</w:t>
                  </w:r>
                  <w:r>
                    <w:rPr>
                      <w:rFonts w:hint="eastAsia" w:ascii="Times New Roman" w:hAnsi="Times New Roman" w:eastAsia="宋体" w:cs="Times New Roman"/>
                      <w:color w:val="auto"/>
                      <w:sz w:val="21"/>
                      <w:lang w:val="en-US" w:eastAsia="zh-CN"/>
                    </w:rPr>
                    <w:t>产生硫酸雾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噪声</w:t>
                  </w:r>
                </w:p>
              </w:tc>
              <w:tc>
                <w:tcPr>
                  <w:tcW w:w="38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风机、输油泵</w:t>
                  </w:r>
                </w:p>
              </w:tc>
              <w:tc>
                <w:tcPr>
                  <w:tcW w:w="48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Leq</w:t>
                  </w:r>
                </w:p>
              </w:tc>
              <w:tc>
                <w:tcPr>
                  <w:tcW w:w="109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基础减振、厂房隔声等降噪措施</w:t>
                  </w:r>
                </w:p>
              </w:tc>
              <w:tc>
                <w:tcPr>
                  <w:tcW w:w="603"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≤70dB(A)</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夜间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≤55dB(A)</w:t>
                  </w:r>
                </w:p>
              </w:tc>
              <w:tc>
                <w:tcPr>
                  <w:tcW w:w="934"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西厂界《工业企业厂界环境噪声排放标准》（GB12348-2008）4类标准</w:t>
                  </w:r>
                </w:p>
              </w:tc>
              <w:tc>
                <w:tcPr>
                  <w:tcW w:w="129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噪声治理措施与环评一致，经检测，西厂界昼、夜间噪声监测值达到</w:t>
                  </w:r>
                  <w:r>
                    <w:rPr>
                      <w:rFonts w:hint="default" w:ascii="Times New Roman" w:hAnsi="Times New Roman" w:eastAsia="宋体" w:cs="Times New Roman"/>
                      <w:color w:val="auto"/>
                      <w:sz w:val="21"/>
                    </w:rPr>
                    <w:t>《工业企业厂界环境噪声排放标准》（GB12348-2008）4类标准</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其余厂界昼、夜间噪声</w:t>
                  </w:r>
                  <w:r>
                    <w:rPr>
                      <w:rFonts w:hint="eastAsia" w:ascii="Times New Roman" w:hAnsi="Times New Roman" w:eastAsia="宋体" w:cs="Times New Roman"/>
                      <w:color w:val="auto"/>
                      <w:vertAlign w:val="baseline"/>
                      <w:lang w:val="en-US" w:eastAsia="zh-CN"/>
                    </w:rPr>
                    <w:t>监测值均</w:t>
                  </w:r>
                  <w:r>
                    <w:rPr>
                      <w:rFonts w:hint="eastAsia" w:ascii="Times New Roman" w:hAnsi="Times New Roman" w:eastAsia="宋体" w:cs="Times New Roman"/>
                      <w:color w:val="auto"/>
                      <w:sz w:val="21"/>
                      <w:lang w:val="en-US" w:eastAsia="zh-CN"/>
                    </w:rPr>
                    <w:t>达到《工业企业厂界环境噪声排放标准》（GB12348-2008）2类标准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48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109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603"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≤60dB(A)</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夜间</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≤50dB(A)</w:t>
                  </w:r>
                </w:p>
              </w:tc>
              <w:tc>
                <w:tcPr>
                  <w:tcW w:w="934"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其他厂界《工业企业厂界环境噪声排放标准》（GB12348-2008）2类标准</w:t>
                  </w: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0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固废</w:t>
                  </w:r>
                </w:p>
              </w:tc>
              <w:tc>
                <w:tcPr>
                  <w:tcW w:w="385"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废气治理</w:t>
                  </w:r>
                </w:p>
              </w:tc>
              <w:tc>
                <w:tcPr>
                  <w:tcW w:w="48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废活性炭</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存于新建危废暂存间，委托有资质单位处置</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p>
              </w:tc>
              <w:tc>
                <w:tcPr>
                  <w:tcW w:w="934" w:type="pct"/>
                  <w:vMerge w:val="restar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 xml:space="preserve">《危险废物贮存污染控制标准》（GB </w:t>
                  </w:r>
                  <w:r>
                    <w:rPr>
                      <w:rFonts w:hint="default" w:ascii="Times New Roman" w:hAnsi="Times New Roman" w:eastAsia="宋体" w:cs="Times New Roman"/>
                      <w:color w:val="auto"/>
                      <w:spacing w:val="-9"/>
                      <w:sz w:val="21"/>
                    </w:rPr>
                    <w:t>18597-2001）</w:t>
                  </w:r>
                  <w:r>
                    <w:rPr>
                      <w:rFonts w:hint="default" w:ascii="Times New Roman" w:hAnsi="Times New Roman" w:eastAsia="宋体" w:cs="Times New Roman"/>
                      <w:color w:val="auto"/>
                      <w:sz w:val="21"/>
                    </w:rPr>
                    <w:t>及其修改单（环境保护部</w:t>
                  </w:r>
                  <w:r>
                    <w:rPr>
                      <w:rFonts w:hint="default" w:ascii="Times New Roman" w:hAnsi="Times New Roman" w:eastAsia="宋体" w:cs="Times New Roman"/>
                      <w:color w:val="auto"/>
                      <w:spacing w:val="-18"/>
                      <w:sz w:val="21"/>
                    </w:rPr>
                    <w:t xml:space="preserve">公告 </w:t>
                  </w:r>
                  <w:r>
                    <w:rPr>
                      <w:rFonts w:hint="default" w:ascii="Times New Roman" w:hAnsi="Times New Roman" w:eastAsia="宋体" w:cs="Times New Roman"/>
                      <w:color w:val="auto"/>
                      <w:sz w:val="21"/>
                    </w:rPr>
                    <w:t xml:space="preserve">2013 </w:t>
                  </w:r>
                  <w:r>
                    <w:rPr>
                      <w:rFonts w:hint="default" w:ascii="Times New Roman" w:hAnsi="Times New Roman" w:eastAsia="宋体" w:cs="Times New Roman"/>
                      <w:color w:val="auto"/>
                      <w:spacing w:val="-18"/>
                      <w:sz w:val="21"/>
                    </w:rPr>
                    <w:t xml:space="preserve">年第 </w:t>
                  </w:r>
                  <w:r>
                    <w:rPr>
                      <w:rFonts w:hint="default" w:ascii="Times New Roman" w:hAnsi="Times New Roman" w:eastAsia="宋体" w:cs="Times New Roman"/>
                      <w:color w:val="auto"/>
                      <w:sz w:val="21"/>
                    </w:rPr>
                    <w:t>36 号）的规定、《危险废物污染防治技术政策》、《危险废物转移联单管理办法》及《危险废物收集贮存运输技术规范》HJ2025-2012 中的有关规定</w:t>
                  </w:r>
                </w:p>
              </w:tc>
              <w:tc>
                <w:tcPr>
                  <w:tcW w:w="129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sz w:val="21"/>
                      <w:lang w:val="en-US" w:eastAsia="zh-CN"/>
                    </w:rPr>
                    <w:t>项目不再进行铅酸蓄电池的暂存与转运，不会产生</w:t>
                  </w:r>
                  <w:r>
                    <w:rPr>
                      <w:rFonts w:hint="default" w:ascii="Times New Roman" w:hAnsi="Times New Roman" w:eastAsia="宋体" w:cs="Times New Roman"/>
                      <w:color w:val="auto"/>
                      <w:sz w:val="21"/>
                    </w:rPr>
                    <w:t>废电解液</w:t>
                  </w:r>
                  <w:r>
                    <w:rPr>
                      <w:rFonts w:hint="eastAsia"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废碱液</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其余固体废物处置措施与环评一致。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restar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生产固废</w:t>
                  </w:r>
                </w:p>
              </w:tc>
              <w:tc>
                <w:tcPr>
                  <w:tcW w:w="48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废抹布</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存于新建危废暂存间，委托有资质单位处置</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val="en-US" w:eastAsia="zh-CN"/>
                    </w:rPr>
                    <w:t>—</w:t>
                  </w:r>
                </w:p>
              </w:tc>
              <w:tc>
                <w:tcPr>
                  <w:tcW w:w="93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48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废劳保用品</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存于新建危废暂存</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间，委托有资质单位处置</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val="en-US" w:eastAsia="zh-CN"/>
                    </w:rPr>
                    <w:t>—</w:t>
                  </w:r>
                </w:p>
              </w:tc>
              <w:tc>
                <w:tcPr>
                  <w:tcW w:w="93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48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废塑料箱</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存于新建危废暂存间，委托有资质单位处置</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val="en-US" w:eastAsia="zh-CN"/>
                    </w:rPr>
                    <w:t>—</w:t>
                  </w:r>
                </w:p>
              </w:tc>
              <w:tc>
                <w:tcPr>
                  <w:tcW w:w="93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48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废电解液</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存于新建危废暂存 间，委托有资质单位处置</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val="en-US" w:eastAsia="zh-CN"/>
                    </w:rPr>
                    <w:t>—</w:t>
                  </w:r>
                </w:p>
              </w:tc>
              <w:tc>
                <w:tcPr>
                  <w:tcW w:w="93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废气治理</w:t>
                  </w:r>
                </w:p>
              </w:tc>
              <w:tc>
                <w:tcPr>
                  <w:tcW w:w="48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废碱液</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存于新建危废暂存间，委托有资质单位处置</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val="en-US" w:eastAsia="zh-CN"/>
                    </w:rPr>
                    <w:t>—</w:t>
                  </w:r>
                </w:p>
              </w:tc>
              <w:tc>
                <w:tcPr>
                  <w:tcW w:w="93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385"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储罐清底</w:t>
                  </w:r>
                </w:p>
              </w:tc>
              <w:tc>
                <w:tcPr>
                  <w:tcW w:w="481"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油泥</w:t>
                  </w:r>
                </w:p>
              </w:tc>
              <w:tc>
                <w:tcPr>
                  <w:tcW w:w="1097" w:type="pct"/>
                  <w:vAlign w:val="center"/>
                </w:tcPr>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存于新建危废暂存间，委托有资质单位处置</w:t>
                  </w:r>
                </w:p>
              </w:tc>
              <w:tc>
                <w:tcPr>
                  <w:tcW w:w="603"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val="en-US" w:eastAsia="zh-CN"/>
                    </w:rPr>
                    <w:t>—</w:t>
                  </w:r>
                </w:p>
              </w:tc>
              <w:tc>
                <w:tcPr>
                  <w:tcW w:w="93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07" w:type="pc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风险</w:t>
                  </w:r>
                </w:p>
              </w:tc>
              <w:tc>
                <w:tcPr>
                  <w:tcW w:w="3501" w:type="pct"/>
                  <w:gridSpan w:val="5"/>
                  <w:vAlign w:val="center"/>
                </w:tcPr>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pacing w:val="-7"/>
                      <w:sz w:val="21"/>
                      <w:lang w:val="en-US" w:eastAsia="zh-CN"/>
                    </w:rPr>
                    <w:t>1、</w:t>
                  </w:r>
                  <w:r>
                    <w:rPr>
                      <w:rFonts w:hint="default" w:ascii="Times New Roman" w:hAnsi="Times New Roman" w:eastAsia="宋体" w:cs="Times New Roman"/>
                      <w:color w:val="auto"/>
                      <w:spacing w:val="-7"/>
                      <w:sz w:val="21"/>
                    </w:rPr>
                    <w:t xml:space="preserve">仓库地面采用 </w:t>
                  </w:r>
                  <w:r>
                    <w:rPr>
                      <w:rFonts w:hint="default" w:ascii="Times New Roman" w:hAnsi="Times New Roman" w:eastAsia="宋体" w:cs="Times New Roman"/>
                      <w:color w:val="auto"/>
                      <w:sz w:val="21"/>
                    </w:rPr>
                    <w:t xml:space="preserve">3 </w:t>
                  </w:r>
                  <w:r>
                    <w:rPr>
                      <w:rFonts w:hint="default" w:ascii="Times New Roman" w:hAnsi="Times New Roman" w:eastAsia="宋体" w:cs="Times New Roman"/>
                      <w:color w:val="auto"/>
                      <w:spacing w:val="1"/>
                      <w:sz w:val="21"/>
                    </w:rPr>
                    <w:t>毫米厚聚酯玻璃钢防腐防渗漏，使等效黏土防渗层</w:t>
                  </w:r>
                  <w:r>
                    <w:rPr>
                      <w:rFonts w:hint="default" w:ascii="Times New Roman" w:hAnsi="Times New Roman" w:eastAsia="宋体" w:cs="Times New Roman"/>
                      <w:color w:val="auto"/>
                      <w:sz w:val="21"/>
                    </w:rPr>
                    <w:t>Mb≥6.0m，渗透系数≤1×10</w:t>
                  </w:r>
                  <w:r>
                    <w:rPr>
                      <w:rFonts w:hint="default" w:ascii="Times New Roman" w:hAnsi="Times New Roman" w:eastAsia="宋体" w:cs="Times New Roman"/>
                      <w:color w:val="auto"/>
                      <w:position w:val="7"/>
                      <w:sz w:val="13"/>
                    </w:rPr>
                    <w:t>-10</w:t>
                  </w:r>
                  <w:r>
                    <w:rPr>
                      <w:rFonts w:hint="default" w:ascii="Times New Roman" w:hAnsi="Times New Roman" w:eastAsia="宋体" w:cs="Times New Roman"/>
                      <w:color w:val="auto"/>
                      <w:sz w:val="21"/>
                    </w:rPr>
                    <w:t>cm/s。厂区地面采用垂直防渗+水平防渗，地面下部铺设 300mm粘土层（保护层，同时作为辅助防渗层）压实平整，整体采用耐腐蚀水泥浇筑而成，使等效黏土防渗层 Mb≥1.5m，渗透系数≤1×10</w:t>
                  </w:r>
                  <w:r>
                    <w:rPr>
                      <w:rFonts w:hint="default" w:ascii="Times New Roman" w:hAnsi="Times New Roman" w:eastAsia="宋体" w:cs="Times New Roman"/>
                      <w:color w:val="auto"/>
                      <w:position w:val="7"/>
                      <w:sz w:val="13"/>
                    </w:rPr>
                    <w:t>-7</w:t>
                  </w:r>
                  <w:r>
                    <w:rPr>
                      <w:rFonts w:hint="default" w:ascii="Times New Roman" w:hAnsi="Times New Roman" w:eastAsia="宋体" w:cs="Times New Roman"/>
                      <w:color w:val="auto"/>
                      <w:sz w:val="21"/>
                    </w:rPr>
                    <w:t>cm/s。</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right="0" w:rightChars="0" w:firstLine="0" w:firstLineChars="0"/>
                    <w:jc w:val="both"/>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12"/>
                      <w:sz w:val="21"/>
                    </w:rPr>
                    <w:t>地沟、引流槽：采用</w:t>
                  </w:r>
                  <w:r>
                    <w:rPr>
                      <w:rFonts w:hint="default" w:ascii="Times New Roman" w:hAnsi="Times New Roman" w:eastAsia="宋体" w:cs="Times New Roman"/>
                      <w:color w:val="auto"/>
                      <w:sz w:val="21"/>
                    </w:rPr>
                    <w:t>3</w:t>
                  </w:r>
                  <w:r>
                    <w:rPr>
                      <w:rFonts w:hint="default" w:ascii="Times New Roman" w:hAnsi="Times New Roman" w:eastAsia="宋体" w:cs="Times New Roman"/>
                      <w:color w:val="auto"/>
                      <w:spacing w:val="-3"/>
                      <w:sz w:val="21"/>
                    </w:rPr>
                    <w:t>毫米厚聚酯玻璃钢防腐防渗漏，使等效黏土防渗层</w:t>
                  </w:r>
                  <w:r>
                    <w:rPr>
                      <w:rFonts w:hint="default" w:ascii="Times New Roman" w:hAnsi="Times New Roman" w:eastAsia="宋体" w:cs="Times New Roman"/>
                      <w:color w:val="auto"/>
                      <w:sz w:val="21"/>
                    </w:rPr>
                    <w:t>Mb≥6.0m，渗透系数≤1×10</w:t>
                  </w:r>
                  <w:r>
                    <w:rPr>
                      <w:rFonts w:hint="default" w:ascii="Times New Roman" w:hAnsi="Times New Roman" w:eastAsia="宋体" w:cs="Times New Roman"/>
                      <w:color w:val="auto"/>
                      <w:position w:val="7"/>
                      <w:sz w:val="13"/>
                    </w:rPr>
                    <w:t>-10</w:t>
                  </w:r>
                  <w:r>
                    <w:rPr>
                      <w:rFonts w:hint="default" w:ascii="Times New Roman" w:hAnsi="Times New Roman" w:eastAsia="宋体" w:cs="Times New Roman"/>
                      <w:color w:val="auto"/>
                      <w:sz w:val="21"/>
                    </w:rPr>
                    <w:t>cm/s。</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right="0" w:rightChars="0" w:firstLine="0" w:firstLineChars="0"/>
                    <w:jc w:val="both"/>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收集池、事故池：采用3毫米厚聚酯玻璃钢防腐防渗漏，使等效黏土防渗层Mb≥6.0m，渗透系数≤1×10</w:t>
                  </w:r>
                  <w:r>
                    <w:rPr>
                      <w:rFonts w:hint="default" w:ascii="Times New Roman" w:hAnsi="Times New Roman" w:eastAsia="宋体" w:cs="Times New Roman"/>
                      <w:color w:val="auto"/>
                      <w:position w:val="7"/>
                      <w:sz w:val="13"/>
                    </w:rPr>
                    <w:t>-10</w:t>
                  </w:r>
                  <w:r>
                    <w:rPr>
                      <w:rFonts w:hint="default" w:ascii="Times New Roman" w:hAnsi="Times New Roman" w:eastAsia="宋体" w:cs="Times New Roman"/>
                      <w:color w:val="auto"/>
                      <w:sz w:val="21"/>
                    </w:rPr>
                    <w:t>cm/s。</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both"/>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HW08储罐区设1m围堰、围堰四周设置引流槽和1个收集池；HW49废铅蓄电池暂存区四周分别设置引流槽与1个收集池。仓库中部通道处由南向北设置一条地沟，沿废液设定流动方向设置0.5%的坡度，上覆不锈钢地沟盖板，地沟与事故池连通，仓库内北侧设置1座容积约30m</w:t>
                  </w:r>
                  <w:r>
                    <w:rPr>
                      <w:rFonts w:hint="default" w:ascii="Times New Roman" w:hAnsi="Times New Roman" w:eastAsia="宋体" w:cs="Times New Roman"/>
                      <w:color w:val="auto"/>
                      <w:position w:val="7"/>
                      <w:sz w:val="13"/>
                    </w:rPr>
                    <w:t>3</w:t>
                  </w:r>
                  <w:r>
                    <w:rPr>
                      <w:rFonts w:hint="default" w:ascii="Times New Roman" w:hAnsi="Times New Roman" w:eastAsia="宋体" w:cs="Times New Roman"/>
                      <w:color w:val="auto"/>
                      <w:sz w:val="21"/>
                    </w:rPr>
                    <w:t>的事故池，消防废水通过地沟排入事故池。泄漏液体通过导流沟引至收集池，收集池和围堰收集的废液不能直接外排，必须妥善转入专用容器中运至有资质单位处理，企业不得自行处理。</w:t>
                  </w:r>
                </w:p>
                <w:p>
                  <w:pPr>
                    <w:pStyle w:val="59"/>
                    <w:keepNext w:val="0"/>
                    <w:keepLines w:val="0"/>
                    <w:pageBreakBefore w:val="0"/>
                    <w:widowControl w:val="0"/>
                    <w:kinsoku/>
                    <w:wordWrap/>
                    <w:overflowPunct/>
                    <w:topLinePunct w:val="0"/>
                    <w:autoSpaceDE/>
                    <w:autoSpaceDN/>
                    <w:bidi w:val="0"/>
                    <w:adjustRightInd w:val="0"/>
                    <w:snapToGrid w:val="0"/>
                    <w:spacing w:after="0" w:line="240" w:lineRule="auto"/>
                    <w:ind w:left="0" w:right="0" w:firstLine="0" w:firstLineChars="0"/>
                    <w:jc w:val="both"/>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w:t>3、应急预案：建立健全企业环境风险管理体系，制定突发性事故应急预案，定期举行应急培训。</w:t>
                  </w:r>
                </w:p>
              </w:tc>
              <w:tc>
                <w:tcPr>
                  <w:tcW w:w="1291" w:type="pct"/>
                  <w:vAlign w:val="center"/>
                </w:tcPr>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rPr>
                      <w:rFonts w:hint="eastAsia" w:ascii="Times New Roman" w:hAnsi="Times New Roman" w:eastAsia="宋体" w:cs="Times New Roman"/>
                      <w:color w:val="auto"/>
                      <w:sz w:val="21"/>
                      <w:lang w:val="en-US" w:eastAsia="zh-CN"/>
                    </w:rPr>
                  </w:pPr>
                  <w:r>
                    <w:rPr>
                      <w:rFonts w:hint="eastAsia"/>
                      <w:lang w:val="en-US" w:eastAsia="zh-CN"/>
                    </w:rPr>
                    <w:t>根据企业施工方案（保定安邦建筑装饰工程有限公司），厂区内库房地面、水池、地沟采用三布七油防腐、防渗措施。1</w:t>
                  </w:r>
                  <w:r>
                    <w:rPr>
                      <w:rFonts w:hint="eastAsia" w:ascii="Times New Roman" w:hAnsi="Times New Roman" w:eastAsia="宋体" w:cs="Times New Roman"/>
                      <w:color w:val="auto"/>
                      <w:sz w:val="21"/>
                      <w:lang w:val="en-US" w:eastAsia="zh-CN"/>
                    </w:rPr>
                    <w:t>、根据现场踏勘及企业负责人提供，已按要求完成仓库、</w:t>
                  </w:r>
                  <w:r>
                    <w:rPr>
                      <w:rFonts w:hint="default" w:ascii="Times New Roman" w:hAnsi="Times New Roman" w:eastAsia="宋体" w:cs="Times New Roman"/>
                      <w:color w:val="auto"/>
                      <w:sz w:val="21"/>
                    </w:rPr>
                    <w:t>地沟、引流槽</w:t>
                  </w:r>
                  <w:r>
                    <w:rPr>
                      <w:rFonts w:hint="eastAsia"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收集池、事故池</w:t>
                  </w:r>
                  <w:r>
                    <w:rPr>
                      <w:rFonts w:hint="eastAsia" w:ascii="Times New Roman" w:hAnsi="Times New Roman" w:eastAsia="宋体" w:cs="Times New Roman"/>
                      <w:color w:val="auto"/>
                      <w:sz w:val="21"/>
                      <w:lang w:val="en-US" w:eastAsia="zh-CN"/>
                    </w:rPr>
                    <w:t>等构筑物的防渗、防腐工作；</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2</w:t>
                  </w:r>
                  <w:r>
                    <w:rPr>
                      <w:rFonts w:hint="eastAsia" w:ascii="Times New Roman" w:hAnsi="Times New Roman" w:cs="Times New Roman"/>
                      <w:color w:val="auto"/>
                      <w:sz w:val="21"/>
                      <w:lang w:val="en-US" w:eastAsia="zh-CN"/>
                    </w:rPr>
                    <w:t>、</w:t>
                  </w:r>
                  <w:r>
                    <w:rPr>
                      <w:rFonts w:hint="default" w:ascii="Times New Roman" w:hAnsi="Times New Roman" w:eastAsia="宋体" w:cs="Times New Roman"/>
                      <w:color w:val="auto"/>
                      <w:sz w:val="21"/>
                    </w:rPr>
                    <w:t>HW08储罐区设1m围堰、围堰四周设置引流槽和1个收集池；仓库中部通道处由南向北设置一条地沟，地沟与事故池连通</w:t>
                  </w:r>
                  <w:r>
                    <w:rPr>
                      <w:rFonts w:hint="eastAsia" w:ascii="Times New Roman" w:hAnsi="Times New Roman" w:cs="Times New Roman"/>
                      <w:color w:val="auto"/>
                      <w:sz w:val="21"/>
                      <w:lang w:eastAsia="zh-CN"/>
                    </w:rPr>
                    <w:t>；</w:t>
                  </w:r>
                  <w:r>
                    <w:rPr>
                      <w:rFonts w:hint="default" w:ascii="Times New Roman" w:hAnsi="Times New Roman" w:eastAsia="宋体" w:cs="Times New Roman"/>
                      <w:color w:val="auto"/>
                      <w:sz w:val="21"/>
                    </w:rPr>
                    <w:t>仓库内北侧设置1座容积约30m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的事故池。</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both"/>
                    <w:textAlignment w:val="auto"/>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3、企业编制《突发环境事件应急预案》，并已备案，备案编号130635-2020-032L。</w:t>
                  </w:r>
                </w:p>
              </w:tc>
            </w:tr>
          </w:tbl>
          <w:p>
            <w:pPr>
              <w:spacing w:line="360" w:lineRule="auto"/>
              <w:rPr>
                <w:rFonts w:hint="eastAsia" w:hAnsi="宋体" w:eastAsia="宋体"/>
                <w:color w:val="auto"/>
                <w:sz w:val="24"/>
                <w:lang w:eastAsia="zh-CN"/>
              </w:rPr>
            </w:pPr>
          </w:p>
        </w:tc>
      </w:tr>
    </w:tbl>
    <w:p>
      <w:pPr>
        <w:spacing w:after="0" w:line="360" w:lineRule="auto"/>
        <w:rPr>
          <w:rFonts w:ascii="Times New Roman" w:cs="Times New Roman" w:hAnsiTheme="minorEastAsia" w:eastAsiaTheme="minorEastAsia"/>
          <w:b/>
          <w:color w:val="FF0000"/>
          <w:sz w:val="28"/>
          <w:szCs w:val="28"/>
        </w:rPr>
        <w:sectPr>
          <w:pgSz w:w="11906" w:h="16838"/>
          <w:pgMar w:top="1077" w:right="1440" w:bottom="1077" w:left="1440" w:header="567"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宋体" w:hAnsi="宋体" w:eastAsia="宋体" w:cs="宋体"/>
          <w:b/>
          <w:color w:val="auto"/>
          <w:sz w:val="30"/>
          <w:szCs w:val="30"/>
        </w:rPr>
      </w:pPr>
      <w:r>
        <w:rPr>
          <w:rFonts w:hint="eastAsia" w:ascii="宋体" w:hAnsi="宋体" w:eastAsia="宋体" w:cs="宋体"/>
          <w:b/>
          <w:color w:val="auto"/>
          <w:sz w:val="30"/>
          <w:szCs w:val="30"/>
        </w:rPr>
        <w:t>表五</w:t>
      </w:r>
    </w:p>
    <w:tbl>
      <w:tblPr>
        <w:tblStyle w:val="19"/>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jc w:val="center"/>
        </w:trPr>
        <w:tc>
          <w:tcPr>
            <w:tcW w:w="9600"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color w:val="auto"/>
                <w:sz w:val="24"/>
              </w:rPr>
            </w:pPr>
            <w:r>
              <w:rPr>
                <w:rFonts w:hint="eastAsia" w:ascii="黑体" w:hAnsi="宋体" w:eastAsia="黑体"/>
                <w:color w:val="auto"/>
                <w:sz w:val="24"/>
              </w:rPr>
              <w:t>验收监测质量保证及质量控制：</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河北新环检测</w:t>
            </w:r>
            <w:r>
              <w:rPr>
                <w:rFonts w:hint="eastAsia" w:ascii="宋体" w:hAnsi="宋体" w:eastAsia="宋体" w:cs="宋体"/>
                <w:color w:val="auto"/>
                <w:sz w:val="24"/>
                <w:szCs w:val="24"/>
                <w:lang w:eastAsia="zh-CN"/>
              </w:rPr>
              <w:t>集团</w:t>
            </w:r>
            <w:r>
              <w:rPr>
                <w:rFonts w:hint="eastAsia" w:ascii="宋体" w:hAnsi="宋体" w:eastAsia="宋体" w:cs="宋体"/>
                <w:color w:val="auto"/>
                <w:sz w:val="24"/>
                <w:szCs w:val="24"/>
              </w:rPr>
              <w:t>有限公司于</w:t>
            </w:r>
            <w:r>
              <w:rPr>
                <w:rFonts w:hint="default" w:ascii="宋体" w:hAnsi="宋体" w:eastAsia="宋体" w:cs="宋体"/>
                <w:color w:val="auto"/>
                <w:sz w:val="24"/>
                <w:szCs w:val="24"/>
              </w:rPr>
              <w:t>20</w:t>
            </w:r>
            <w:r>
              <w:rPr>
                <w:rFonts w:hint="eastAsia" w:ascii="宋体" w:hAnsi="宋体" w:eastAsia="宋体" w:cs="宋体"/>
                <w:color w:val="auto"/>
                <w:sz w:val="24"/>
                <w:szCs w:val="24"/>
                <w:lang w:val="en-US" w:eastAsia="zh-CN"/>
              </w:rPr>
              <w:t>21</w:t>
            </w:r>
            <w:r>
              <w:rPr>
                <w:rFonts w:hint="default" w:ascii="宋体" w:hAnsi="宋体" w:eastAsia="宋体" w:cs="宋体"/>
                <w:color w:val="auto"/>
                <w:sz w:val="24"/>
                <w:szCs w:val="24"/>
              </w:rPr>
              <w:t>年</w:t>
            </w:r>
            <w:r>
              <w:rPr>
                <w:rFonts w:hint="eastAsia" w:ascii="宋体" w:hAnsi="宋体" w:eastAsia="宋体" w:cs="宋体"/>
                <w:color w:val="auto"/>
                <w:sz w:val="24"/>
                <w:szCs w:val="24"/>
                <w:lang w:val="en-US" w:eastAsia="zh-CN"/>
              </w:rPr>
              <w:t>6</w:t>
            </w:r>
            <w:r>
              <w:rPr>
                <w:rFonts w:hint="default" w:ascii="宋体" w:hAnsi="宋体" w:eastAsia="宋体" w:cs="宋体"/>
                <w:color w:val="auto"/>
                <w:sz w:val="24"/>
                <w:szCs w:val="24"/>
              </w:rPr>
              <w:t>月</w:t>
            </w:r>
            <w:r>
              <w:rPr>
                <w:rFonts w:hint="eastAsia" w:ascii="宋体" w:hAnsi="宋体" w:eastAsia="宋体" w:cs="宋体"/>
                <w:color w:val="auto"/>
                <w:sz w:val="24"/>
                <w:szCs w:val="24"/>
                <w:lang w:val="en-US" w:eastAsia="zh-CN"/>
              </w:rPr>
              <w:t>4</w:t>
            </w:r>
            <w:r>
              <w:rPr>
                <w:rFonts w:hint="default" w:ascii="宋体" w:hAnsi="宋体" w:eastAsia="宋体" w:cs="宋体"/>
                <w:color w:val="auto"/>
                <w:sz w:val="24"/>
                <w:szCs w:val="24"/>
              </w:rPr>
              <w:t>日至</w:t>
            </w:r>
            <w:r>
              <w:rPr>
                <w:rFonts w:hint="eastAsia" w:ascii="宋体" w:hAnsi="宋体" w:eastAsia="宋体" w:cs="宋体"/>
                <w:color w:val="auto"/>
                <w:sz w:val="24"/>
                <w:szCs w:val="24"/>
                <w:lang w:val="en-US" w:eastAsia="zh-CN"/>
              </w:rPr>
              <w:t>5</w:t>
            </w:r>
            <w:r>
              <w:rPr>
                <w:rFonts w:hint="default" w:ascii="宋体" w:hAnsi="宋体" w:eastAsia="宋体" w:cs="宋体"/>
                <w:color w:val="auto"/>
                <w:sz w:val="24"/>
                <w:szCs w:val="24"/>
              </w:rPr>
              <w:t>日进行了竣工验收检测并出具检测报告。监测期间，</w:t>
            </w:r>
            <w:r>
              <w:rPr>
                <w:rFonts w:hint="eastAsia" w:ascii="宋体" w:hAnsi="宋体" w:eastAsia="宋体" w:cs="宋体"/>
                <w:color w:val="auto"/>
                <w:sz w:val="24"/>
                <w:szCs w:val="24"/>
              </w:rPr>
              <w:t>满足环保验收</w:t>
            </w:r>
            <w:r>
              <w:rPr>
                <w:rFonts w:hint="eastAsia" w:ascii="宋体" w:hAnsi="宋体" w:eastAsia="宋体" w:cs="宋体"/>
                <w:color w:val="auto"/>
                <w:sz w:val="24"/>
                <w:szCs w:val="24"/>
                <w:lang w:val="en-US" w:eastAsia="zh-CN"/>
              </w:rPr>
              <w:t>监</w:t>
            </w:r>
            <w:r>
              <w:rPr>
                <w:rFonts w:hint="eastAsia" w:ascii="宋体" w:hAnsi="宋体" w:eastAsia="宋体" w:cs="宋体"/>
                <w:color w:val="auto"/>
                <w:sz w:val="24"/>
                <w:szCs w:val="24"/>
              </w:rPr>
              <w:t>测技术要求。</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
                <w:bCs/>
                <w:color w:val="auto"/>
                <w:sz w:val="24"/>
              </w:rPr>
            </w:pPr>
            <w:r>
              <w:rPr>
                <w:rFonts w:hint="eastAsia" w:ascii="宋体" w:hAnsi="宋体" w:eastAsia="宋体" w:cs="宋体"/>
                <w:b/>
                <w:bCs/>
                <w:color w:val="auto"/>
                <w:sz w:val="24"/>
                <w:lang w:eastAsia="zh-CN"/>
              </w:rPr>
              <w:t>一、</w:t>
            </w:r>
            <w:r>
              <w:rPr>
                <w:rFonts w:hint="eastAsia" w:ascii="宋体" w:hAnsi="宋体" w:eastAsia="宋体" w:cs="宋体"/>
                <w:b/>
                <w:bCs/>
                <w:color w:val="auto"/>
                <w:sz w:val="24"/>
              </w:rPr>
              <w:t>质量保障体系</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rPr>
            </w:pPr>
            <w:bookmarkStart w:id="0" w:name="_Toc349134675"/>
            <w:r>
              <w:rPr>
                <w:rFonts w:hint="eastAsia" w:ascii="宋体" w:hAnsi="宋体" w:eastAsia="宋体" w:cs="宋体"/>
                <w:color w:val="auto"/>
                <w:sz w:val="24"/>
                <w:szCs w:val="24"/>
              </w:rPr>
              <w:t>（1）严格按照环境监测技术规范和有关环境检测质量保证的要求进行样品采集、保存、分析等，全程进行质量控制。</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（2）本项目检测仪器均经计量部门检定合格并在有效期内。</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（3）废气采样前对仪器流量计进行校准，并检查气密性；采样和分析过程严格按照GB16157-1996</w:t>
            </w:r>
            <w:r>
              <w:rPr>
                <w:rFonts w:hint="eastAsia" w:ascii="宋体" w:hAnsi="宋体" w:eastAsia="宋体" w:cs="宋体"/>
                <w:color w:val="auto"/>
                <w:sz w:val="24"/>
                <w:szCs w:val="24"/>
                <w:lang w:eastAsia="zh-CN"/>
              </w:rPr>
              <w:t>及修改单、</w:t>
            </w:r>
            <w:r>
              <w:rPr>
                <w:rFonts w:hint="eastAsia" w:ascii="宋体" w:hAnsi="宋体" w:eastAsia="宋体" w:cs="宋体"/>
                <w:color w:val="auto"/>
                <w:sz w:val="24"/>
                <w:szCs w:val="24"/>
                <w:lang w:val="en-US" w:eastAsia="zh-CN"/>
              </w:rPr>
              <w:t>HJ/T55-2000</w:t>
            </w:r>
            <w:r>
              <w:rPr>
                <w:rFonts w:hint="eastAsia" w:ascii="宋体" w:hAnsi="宋体" w:eastAsia="宋体" w:cs="宋体"/>
                <w:color w:val="auto"/>
                <w:sz w:val="24"/>
                <w:szCs w:val="24"/>
              </w:rPr>
              <w:t>和《空气和废气监测分析方法》（第四版增补版）进行。</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）声级计测量前后均经标准声源校准且合格，测试时无雨雪，无雷电，风速小于5.0m/s。</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）检测数据严格执行三级审核制度。</w:t>
            </w:r>
            <w:bookmarkEnd w:id="0"/>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二、质量保证</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1、废气质量控制（准确度）记录表</w:t>
            </w:r>
          </w:p>
          <w:tbl>
            <w:tblPr>
              <w:tblStyle w:val="19"/>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857"/>
              <w:gridCol w:w="1460"/>
              <w:gridCol w:w="1329"/>
              <w:gridCol w:w="1329"/>
              <w:gridCol w:w="1117"/>
              <w:gridCol w:w="1268"/>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日期</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名称</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批号</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标准值</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color w:val="auto"/>
                      <w:spacing w:val="-12"/>
                      <w:sz w:val="24"/>
                      <w:szCs w:val="24"/>
                    </w:rPr>
                    <w:t>mg/m</w:t>
                  </w:r>
                  <w:r>
                    <w:rPr>
                      <w:rFonts w:hint="default" w:ascii="Times New Roman" w:hAnsi="Times New Roman" w:eastAsia="宋体" w:cs="Times New Roman"/>
                      <w:color w:val="auto"/>
                      <w:spacing w:val="-12"/>
                      <w:sz w:val="24"/>
                      <w:szCs w:val="24"/>
                      <w:vertAlign w:val="superscript"/>
                    </w:rPr>
                    <w:t>3</w:t>
                  </w:r>
                  <w:r>
                    <w:rPr>
                      <w:rFonts w:hint="default" w:ascii="Times New Roman" w:hAnsi="Times New Roman" w:eastAsia="宋体" w:cs="Times New Roman"/>
                      <w:color w:val="auto"/>
                      <w:spacing w:val="-12"/>
                      <w:sz w:val="24"/>
                      <w:szCs w:val="24"/>
                      <w:vertAlign w:val="baseline"/>
                      <w:lang w:eastAsia="zh-CN"/>
                    </w:rPr>
                    <w:t>）</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测定值</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color w:val="auto"/>
                      <w:spacing w:val="-12"/>
                      <w:sz w:val="24"/>
                      <w:szCs w:val="24"/>
                    </w:rPr>
                    <w:t>mg/m</w:t>
                  </w:r>
                  <w:r>
                    <w:rPr>
                      <w:rFonts w:hint="default" w:ascii="Times New Roman" w:hAnsi="Times New Roman" w:eastAsia="宋体" w:cs="Times New Roman"/>
                      <w:color w:val="auto"/>
                      <w:spacing w:val="-12"/>
                      <w:sz w:val="24"/>
                      <w:szCs w:val="24"/>
                      <w:vertAlign w:val="superscript"/>
                    </w:rPr>
                    <w:t>3</w:t>
                  </w:r>
                  <w:r>
                    <w:rPr>
                      <w:rFonts w:hint="default" w:ascii="Times New Roman" w:hAnsi="Times New Roman" w:eastAsia="宋体" w:cs="Times New Roman"/>
                      <w:color w:val="auto"/>
                      <w:spacing w:val="-12"/>
                      <w:sz w:val="24"/>
                      <w:szCs w:val="24"/>
                      <w:vertAlign w:val="baseline"/>
                      <w:lang w:eastAsia="zh-CN"/>
                    </w:rPr>
                    <w:t>）</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eastAsia="zh-CN"/>
                    </w:rPr>
                    <w:t>相对误差</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color w:val="auto"/>
                      <w:spacing w:val="-12"/>
                      <w:sz w:val="24"/>
                      <w:szCs w:val="24"/>
                      <w:lang w:val="en-US" w:eastAsia="zh-CN"/>
                    </w:rPr>
                    <w:t>%</w:t>
                  </w:r>
                  <w:r>
                    <w:rPr>
                      <w:rFonts w:hint="default" w:ascii="Times New Roman" w:hAnsi="Times New Roman" w:eastAsia="宋体" w:cs="Times New Roman"/>
                      <w:color w:val="auto"/>
                      <w:spacing w:val="-12"/>
                      <w:sz w:val="24"/>
                      <w:szCs w:val="24"/>
                      <w:vertAlign w:val="baseline"/>
                      <w:lang w:eastAsia="zh-CN"/>
                    </w:rPr>
                    <w:t>）</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判定依据</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1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2021.6.4</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总烃</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2020-B1506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1.42</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1.42</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甲烷</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2020-B1506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1.42</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1.42</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总烃</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2020-B1826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7.21</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7.29</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1.1</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甲烷</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2020-B1826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7.21</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7.29</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1.1</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1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2021.6.5</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总烃</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2020-B1506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1.42</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1.42</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甲烷</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2020-B1506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1.42</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1.42</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总烃</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2020-B1826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7.21</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7.29</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1.1</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甲烷</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2020-B1826</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7.21</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7.29</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1.1</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不超过</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合格</w:t>
                  </w:r>
                </w:p>
              </w:tc>
            </w:tr>
          </w:tbl>
          <w:p>
            <w:pPr>
              <w:spacing w:line="480" w:lineRule="exact"/>
              <w:ind w:firstLine="480" w:firstLineChars="200"/>
              <w:rPr>
                <w:rFonts w:hint="eastAsia" w:ascii="宋体" w:hAnsi="宋体" w:eastAsia="宋体" w:cs="宋体"/>
                <w:color w:val="auto"/>
                <w:sz w:val="24"/>
                <w:szCs w:val="24"/>
                <w:lang w:eastAsia="zh-CN"/>
              </w:rPr>
            </w:pPr>
          </w:p>
        </w:tc>
      </w:tr>
    </w:tbl>
    <w:p>
      <w:pPr>
        <w:spacing w:after="0" w:line="360" w:lineRule="auto"/>
        <w:rPr>
          <w:rFonts w:ascii="Times New Roman" w:cs="Times New Roman" w:hAnsiTheme="minorEastAsia" w:eastAsiaTheme="minorEastAsia"/>
          <w:b/>
          <w:color w:val="FF0000"/>
          <w:sz w:val="28"/>
          <w:szCs w:val="28"/>
        </w:rPr>
        <w:sectPr>
          <w:pgSz w:w="11906" w:h="16838"/>
          <w:pgMar w:top="1077" w:right="1440" w:bottom="1077" w:left="1440" w:header="567"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表五</w:t>
      </w:r>
    </w:p>
    <w:tbl>
      <w:tblPr>
        <w:tblStyle w:val="19"/>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65" w:hRule="atLeast"/>
          <w:jc w:val="center"/>
        </w:trPr>
        <w:tc>
          <w:tcPr>
            <w:tcW w:w="9494" w:type="dxa"/>
            <w:noWrap w:val="0"/>
            <w:vAlign w:val="top"/>
          </w:tcPr>
          <w:p>
            <w:pPr>
              <w:keepNext w:val="0"/>
              <w:keepLines w:val="0"/>
              <w:pageBreakBefore w:val="0"/>
              <w:widowControl w:val="0"/>
              <w:tabs>
                <w:tab w:val="left" w:pos="1255"/>
              </w:tabs>
              <w:kinsoku/>
              <w:wordWrap/>
              <w:overflowPunct/>
              <w:topLinePunct w:val="0"/>
              <w:autoSpaceDE/>
              <w:autoSpaceDN/>
              <w:bidi w:val="0"/>
              <w:adjustRightInd w:val="0"/>
              <w:snapToGrid/>
              <w:spacing w:before="181" w:beforeLines="50" w:after="0"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2、废气质量控制（精密度）记录表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2133"/>
              <w:gridCol w:w="932"/>
              <w:gridCol w:w="856"/>
              <w:gridCol w:w="932"/>
              <w:gridCol w:w="1027"/>
              <w:gridCol w:w="958"/>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检测</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w:t>
                  </w: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样品编号</w:t>
                  </w:r>
                </w:p>
              </w:tc>
              <w:tc>
                <w:tcPr>
                  <w:tcW w:w="96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样品浓度</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均值</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相对偏</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差(%)</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判定</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依据</w:t>
                  </w:r>
                </w:p>
              </w:tc>
              <w:tc>
                <w:tcPr>
                  <w:tcW w:w="4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是否</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2"/>
                      <w:sz w:val="24"/>
                      <w:szCs w:val="24"/>
                      <w:lang w:eastAsia="zh-CN"/>
                    </w:rPr>
                    <w:t>非甲烷总烃</w:t>
                  </w:r>
                  <w:r>
                    <w:rPr>
                      <w:rFonts w:hint="default" w:ascii="Times New Roman" w:hAnsi="Times New Roman" w:eastAsia="宋体" w:cs="Times New Roman"/>
                      <w:bCs/>
                      <w:color w:val="auto"/>
                      <w:sz w:val="24"/>
                      <w:szCs w:val="24"/>
                      <w:lang w:eastAsia="zh-CN"/>
                    </w:rPr>
                    <w:t>（以碳计）</w:t>
                  </w:r>
                  <w:r>
                    <w:rPr>
                      <w:rFonts w:hint="default" w:ascii="Times New Roman" w:hAnsi="Times New Roman" w:eastAsia="宋体" w:cs="Times New Roman"/>
                      <w:color w:val="auto"/>
                      <w:spacing w:val="-12"/>
                      <w:sz w:val="24"/>
                      <w:szCs w:val="24"/>
                    </w:rPr>
                    <w:t>（mg/m</w:t>
                  </w:r>
                  <w:r>
                    <w:rPr>
                      <w:rFonts w:hint="default" w:ascii="Times New Roman" w:hAnsi="Times New Roman" w:eastAsia="宋体" w:cs="Times New Roman"/>
                      <w:color w:val="auto"/>
                      <w:spacing w:val="-12"/>
                      <w:sz w:val="24"/>
                      <w:szCs w:val="24"/>
                      <w:vertAlign w:val="superscript"/>
                    </w:rPr>
                    <w:t>3</w:t>
                  </w:r>
                  <w:r>
                    <w:rPr>
                      <w:rFonts w:hint="default" w:ascii="Times New Roman" w:hAnsi="Times New Roman" w:eastAsia="宋体" w:cs="Times New Roman"/>
                      <w:color w:val="auto"/>
                      <w:spacing w:val="-12"/>
                      <w:sz w:val="24"/>
                      <w:szCs w:val="24"/>
                    </w:rPr>
                    <w:t>）</w:t>
                  </w: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（1-1-2）-NMHC</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0.41</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0.41</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0.41</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w:t>
                  </w:r>
                </w:p>
              </w:tc>
              <w:tc>
                <w:tcPr>
                  <w:tcW w:w="51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p>
              </w:tc>
              <w:tc>
                <w:tcPr>
                  <w:tcW w:w="4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eastAsia="zh-CN"/>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（1-4-1）-NMHC</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0.61</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0.60</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0.60</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0.83</w:t>
                  </w:r>
                </w:p>
              </w:tc>
              <w:tc>
                <w:tcPr>
                  <w:tcW w:w="5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4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eastAsia="zh-CN"/>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（1-6-1）-NMHC</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0.58</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0.58</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0.58</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w:t>
                  </w:r>
                </w:p>
              </w:tc>
              <w:tc>
                <w:tcPr>
                  <w:tcW w:w="5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p>
              </w:tc>
              <w:tc>
                <w:tcPr>
                  <w:tcW w:w="4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eastAsia="zh-CN"/>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（2-1-2）-NMHC</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0.39</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0.40</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0.40</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1.3</w:t>
                  </w:r>
                </w:p>
              </w:tc>
              <w:tc>
                <w:tcPr>
                  <w:tcW w:w="5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p>
              </w:tc>
              <w:tc>
                <w:tcPr>
                  <w:tcW w:w="4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（2-4-2）-NMHC</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0.59</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0.60</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0.60</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0.84</w:t>
                  </w:r>
                </w:p>
              </w:tc>
              <w:tc>
                <w:tcPr>
                  <w:tcW w:w="5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4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（2-6-2）-NMHC</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0.58</w:t>
                  </w:r>
                </w:p>
              </w:tc>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0.58</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0.58</w:t>
                  </w:r>
                </w:p>
              </w:tc>
              <w:tc>
                <w:tcPr>
                  <w:tcW w:w="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w:t>
                  </w:r>
                </w:p>
              </w:tc>
              <w:tc>
                <w:tcPr>
                  <w:tcW w:w="51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p>
              </w:tc>
              <w:tc>
                <w:tcPr>
                  <w:tcW w:w="4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合格</w:t>
                  </w:r>
                </w:p>
              </w:tc>
            </w:tr>
          </w:tbl>
          <w:p>
            <w:pPr>
              <w:keepNext w:val="0"/>
              <w:keepLines w:val="0"/>
              <w:pageBreakBefore w:val="0"/>
              <w:widowControl w:val="0"/>
              <w:tabs>
                <w:tab w:val="left" w:pos="1255"/>
              </w:tabs>
              <w:kinsoku/>
              <w:wordWrap/>
              <w:overflowPunct/>
              <w:topLinePunct w:val="0"/>
              <w:autoSpaceDE/>
              <w:autoSpaceDN/>
              <w:bidi w:val="0"/>
              <w:adjustRightInd w:val="0"/>
              <w:snapToGrid/>
              <w:spacing w:before="181" w:beforeLines="50"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default" w:ascii="宋体" w:hAnsi="宋体" w:eastAsia="宋体" w:cs="宋体"/>
                <w:color w:val="auto"/>
                <w:sz w:val="24"/>
                <w:szCs w:val="24"/>
                <w:lang w:val="en-US" w:eastAsia="zh-CN"/>
              </w:rPr>
              <w:t>噪声仪器校验表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220"/>
              <w:gridCol w:w="1746"/>
              <w:gridCol w:w="1746"/>
              <w:gridCol w:w="1374"/>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53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校准日期</w:t>
                  </w:r>
                </w:p>
              </w:tc>
              <w:tc>
                <w:tcPr>
                  <w:tcW w:w="486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校准声压级（94.0dB（A））</w:t>
                  </w:r>
                </w:p>
              </w:tc>
              <w:tc>
                <w:tcPr>
                  <w:tcW w:w="18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53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eastAsia="zh-CN"/>
                    </w:rPr>
                  </w:pP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测量前</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测量后</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差值</w:t>
                  </w:r>
                </w:p>
              </w:tc>
              <w:tc>
                <w:tcPr>
                  <w:tcW w:w="186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测量前、后校准声级差值小于0.5dB（A）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2021.6.4</w:t>
                  </w:r>
                </w:p>
              </w:tc>
              <w:tc>
                <w:tcPr>
                  <w:tcW w:w="12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昼间</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93.8</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93.9</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0.1</w:t>
                  </w:r>
                </w:p>
              </w:tc>
              <w:tc>
                <w:tcPr>
                  <w:tcW w:w="1865"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12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夜间</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93.8</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93.7</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0.1</w:t>
                  </w:r>
                </w:p>
              </w:tc>
              <w:tc>
                <w:tcPr>
                  <w:tcW w:w="1865"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2021.6.5</w:t>
                  </w:r>
                </w:p>
              </w:tc>
              <w:tc>
                <w:tcPr>
                  <w:tcW w:w="12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昼间</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93.8</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93.8</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w:t>
                  </w:r>
                </w:p>
              </w:tc>
              <w:tc>
                <w:tcPr>
                  <w:tcW w:w="1865"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3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12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夜间</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93.7</w:t>
                  </w:r>
                </w:p>
              </w:tc>
              <w:tc>
                <w:tcPr>
                  <w:tcW w:w="17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93.8</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0.1</w:t>
                  </w:r>
                </w:p>
              </w:tc>
              <w:tc>
                <w:tcPr>
                  <w:tcW w:w="1865"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24"/>
                      <w:szCs w:val="24"/>
                      <w:vertAlign w:val="baseline"/>
                      <w:lang w:val="en-US" w:eastAsia="zh-CN"/>
                    </w:rPr>
                  </w:pPr>
                </w:p>
              </w:tc>
            </w:tr>
          </w:tbl>
          <w:p>
            <w:pPr>
              <w:keepNext w:val="0"/>
              <w:keepLines w:val="0"/>
              <w:pageBreakBefore w:val="0"/>
              <w:widowControl w:val="0"/>
              <w:tabs>
                <w:tab w:val="left" w:pos="1255"/>
              </w:tabs>
              <w:kinsoku/>
              <w:wordWrap/>
              <w:overflowPunct/>
              <w:topLinePunct w:val="0"/>
              <w:autoSpaceDE/>
              <w:autoSpaceDN/>
              <w:bidi w:val="0"/>
              <w:adjustRightInd w:val="0"/>
              <w:snapToGrid/>
              <w:spacing w:before="181" w:beforeLines="50"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default" w:ascii="宋体" w:hAnsi="宋体" w:eastAsia="宋体" w:cs="宋体"/>
                <w:color w:val="auto"/>
                <w:sz w:val="24"/>
                <w:szCs w:val="24"/>
                <w:lang w:val="en-US" w:eastAsia="zh-CN"/>
              </w:rPr>
              <w:t>人员资质情况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2156"/>
              <w:gridCol w:w="2507"/>
              <w:gridCol w:w="3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序号</w:t>
                  </w:r>
                </w:p>
              </w:tc>
              <w:tc>
                <w:tcPr>
                  <w:tcW w:w="23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姓名</w:t>
                  </w:r>
                </w:p>
              </w:tc>
              <w:tc>
                <w:tcPr>
                  <w:tcW w:w="2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上岗证编号</w:t>
                  </w:r>
                </w:p>
              </w:tc>
              <w:tc>
                <w:tcPr>
                  <w:tcW w:w="3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上岗证有效期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p>
              </w:tc>
              <w:tc>
                <w:tcPr>
                  <w:tcW w:w="23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杨硕</w:t>
                  </w:r>
                </w:p>
              </w:tc>
              <w:tc>
                <w:tcPr>
                  <w:tcW w:w="2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HBXH00</w:t>
                  </w:r>
                  <w:r>
                    <w:rPr>
                      <w:rFonts w:hint="eastAsia" w:ascii="Times New Roman" w:hAnsi="Times New Roman" w:eastAsia="宋体" w:cs="Times New Roman"/>
                      <w:color w:val="auto"/>
                      <w:sz w:val="24"/>
                      <w:szCs w:val="24"/>
                      <w:lang w:val="en-US" w:eastAsia="zh-CN"/>
                    </w:rPr>
                    <w:t>20</w:t>
                  </w:r>
                </w:p>
              </w:tc>
              <w:tc>
                <w:tcPr>
                  <w:tcW w:w="3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5.15</w:t>
                  </w:r>
                  <w:r>
                    <w:rPr>
                      <w:rFonts w:hint="eastAsia" w:ascii="Times New Roman" w:hAnsi="Times New Roman" w:eastAsia="宋体" w:cs="Times New Roman"/>
                      <w:color w:val="auto"/>
                      <w:sz w:val="24"/>
                      <w:szCs w:val="24"/>
                      <w:lang w:val="en-US" w:eastAsia="zh-CN"/>
                    </w:rPr>
                    <w:t>~2025.05.14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p>
              </w:tc>
              <w:tc>
                <w:tcPr>
                  <w:tcW w:w="23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李建</w:t>
                  </w:r>
                </w:p>
              </w:tc>
              <w:tc>
                <w:tcPr>
                  <w:tcW w:w="2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HBXH0067</w:t>
                  </w:r>
                </w:p>
              </w:tc>
              <w:tc>
                <w:tcPr>
                  <w:tcW w:w="3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2018.11.08~2023.11.07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p>
              </w:tc>
              <w:tc>
                <w:tcPr>
                  <w:tcW w:w="23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刘亚晴</w:t>
                  </w:r>
                </w:p>
              </w:tc>
              <w:tc>
                <w:tcPr>
                  <w:tcW w:w="2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HBXH0057</w:t>
                  </w:r>
                </w:p>
              </w:tc>
              <w:tc>
                <w:tcPr>
                  <w:tcW w:w="3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2018.11.05~2023.11.04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1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p>
              </w:tc>
              <w:tc>
                <w:tcPr>
                  <w:tcW w:w="23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王颖</w:t>
                  </w:r>
                </w:p>
              </w:tc>
              <w:tc>
                <w:tcPr>
                  <w:tcW w:w="2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HBXH0044</w:t>
                  </w:r>
                </w:p>
              </w:tc>
              <w:tc>
                <w:tcPr>
                  <w:tcW w:w="3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2017.04.01~2022.03.31</w:t>
                  </w:r>
                </w:p>
              </w:tc>
            </w:tr>
          </w:tbl>
          <w:p>
            <w:pPr>
              <w:numPr>
                <w:ilvl w:val="0"/>
                <w:numId w:val="0"/>
              </w:numPr>
              <w:spacing w:line="480" w:lineRule="exact"/>
              <w:rPr>
                <w:rFonts w:hint="eastAsia" w:hAnsi="宋体"/>
                <w:color w:val="auto"/>
                <w:sz w:val="24"/>
                <w:lang w:val="en-US" w:eastAsia="zh-CN"/>
              </w:rPr>
            </w:pPr>
          </w:p>
        </w:tc>
      </w:tr>
    </w:tbl>
    <w:p>
      <w:pPr>
        <w:spacing w:after="0" w:line="360" w:lineRule="auto"/>
        <w:rPr>
          <w:rFonts w:ascii="Times New Roman" w:cs="Times New Roman" w:hAnsiTheme="minorEastAsia" w:eastAsiaTheme="minorEastAsia"/>
          <w:b/>
          <w:color w:val="FF0000"/>
          <w:sz w:val="28"/>
          <w:szCs w:val="28"/>
        </w:rPr>
        <w:sectPr>
          <w:pgSz w:w="11906" w:h="16838"/>
          <w:pgMar w:top="1077" w:right="1440" w:bottom="1077" w:left="1440" w:header="567"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表五</w:t>
      </w:r>
    </w:p>
    <w:tbl>
      <w:tblPr>
        <w:tblStyle w:val="19"/>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5" w:hRule="atLeast"/>
          <w:jc w:val="center"/>
        </w:trPr>
        <w:tc>
          <w:tcPr>
            <w:tcW w:w="9494" w:type="dxa"/>
            <w:noWrap w:val="0"/>
            <w:vAlign w:val="top"/>
          </w:tcPr>
          <w:p>
            <w:pPr>
              <w:keepNext w:val="0"/>
              <w:keepLines w:val="0"/>
              <w:pageBreakBefore w:val="0"/>
              <w:widowControl w:val="0"/>
              <w:tabs>
                <w:tab w:val="left" w:pos="1255"/>
              </w:tabs>
              <w:kinsoku/>
              <w:wordWrap/>
              <w:overflowPunct/>
              <w:topLinePunct w:val="0"/>
              <w:autoSpaceDE/>
              <w:autoSpaceDN/>
              <w:bidi w:val="0"/>
              <w:adjustRightInd w:val="0"/>
              <w:snapToGrid/>
              <w:spacing w:before="181" w:beforeLines="50"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5、烟气监测</w:t>
            </w:r>
            <w:r>
              <w:rPr>
                <w:rFonts w:hint="default" w:ascii="宋体" w:hAnsi="宋体" w:eastAsia="宋体" w:cs="宋体"/>
                <w:color w:val="auto"/>
                <w:sz w:val="24"/>
                <w:szCs w:val="24"/>
                <w:lang w:val="en-US" w:eastAsia="zh-CN"/>
              </w:rPr>
              <w:t>校核质控表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936"/>
              <w:gridCol w:w="870"/>
              <w:gridCol w:w="1042"/>
              <w:gridCol w:w="556"/>
              <w:gridCol w:w="1326"/>
              <w:gridCol w:w="1326"/>
              <w:gridCol w:w="1101"/>
              <w:gridCol w:w="972"/>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8"/>
                      <w:szCs w:val="32"/>
                      <w:highlight w:val="none"/>
                      <w:vertAlign w:val="baseline"/>
                      <w:lang w:eastAsia="zh-CN"/>
                    </w:rPr>
                  </w:pPr>
                  <w:r>
                    <w:rPr>
                      <w:rFonts w:hint="default" w:ascii="Times New Roman" w:hAnsi="Times New Roman" w:eastAsia="宋体" w:cs="Times New Roman"/>
                      <w:b/>
                      <w:color w:val="auto"/>
                      <w:sz w:val="24"/>
                    </w:rPr>
                    <w:t>序号</w:t>
                  </w:r>
                </w:p>
              </w:tc>
              <w:tc>
                <w:tcPr>
                  <w:tcW w:w="5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仪器</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8"/>
                      <w:szCs w:val="32"/>
                      <w:highlight w:val="none"/>
                      <w:vertAlign w:val="baseline"/>
                      <w:lang w:eastAsia="zh-CN"/>
                    </w:rPr>
                  </w:pPr>
                  <w:r>
                    <w:rPr>
                      <w:rFonts w:hint="default" w:ascii="Times New Roman" w:hAnsi="Times New Roman" w:eastAsia="宋体" w:cs="Times New Roman"/>
                      <w:b/>
                      <w:color w:val="auto"/>
                      <w:sz w:val="24"/>
                    </w:rPr>
                    <w:t>名称</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设备</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8"/>
                      <w:szCs w:val="32"/>
                      <w:highlight w:val="none"/>
                      <w:vertAlign w:val="baseline"/>
                      <w:lang w:eastAsia="zh-CN"/>
                    </w:rPr>
                  </w:pPr>
                  <w:r>
                    <w:rPr>
                      <w:rFonts w:hint="default" w:ascii="Times New Roman" w:hAnsi="Times New Roman" w:eastAsia="宋体" w:cs="Times New Roman"/>
                      <w:b/>
                      <w:color w:val="auto"/>
                      <w:sz w:val="24"/>
                    </w:rPr>
                    <w:t>型号</w:t>
                  </w:r>
                </w:p>
              </w:tc>
              <w:tc>
                <w:tcPr>
                  <w:tcW w:w="5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设备</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8"/>
                      <w:szCs w:val="32"/>
                      <w:highlight w:val="none"/>
                      <w:vertAlign w:val="baseline"/>
                      <w:lang w:eastAsia="zh-CN"/>
                    </w:rPr>
                  </w:pPr>
                  <w:r>
                    <w:rPr>
                      <w:rFonts w:hint="default" w:ascii="Times New Roman" w:hAnsi="Times New Roman" w:eastAsia="宋体" w:cs="Times New Roman"/>
                      <w:b/>
                      <w:color w:val="auto"/>
                      <w:sz w:val="24"/>
                      <w:lang w:eastAsia="zh-CN"/>
                    </w:rPr>
                    <w:t>编号</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气路</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被校仪器示值（L/min）</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val="en-US" w:eastAsia="zh-CN"/>
                    </w:rPr>
                    <w:t>校准装置示值（L/min）</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t>示值误差（</w:t>
                  </w:r>
                  <w:r>
                    <w:rPr>
                      <w:rFonts w:hint="default" w:ascii="Times New Roman" w:hAnsi="Times New Roman" w:eastAsia="宋体" w:cs="Times New Roman"/>
                      <w:b/>
                      <w:color w:val="auto"/>
                      <w:sz w:val="24"/>
                      <w:lang w:val="en-US" w:eastAsia="zh-CN"/>
                    </w:rPr>
                    <w:t>%</w:t>
                  </w:r>
                  <w:r>
                    <w:rPr>
                      <w:rFonts w:hint="default" w:ascii="Times New Roman" w:hAnsi="Times New Roman" w:eastAsia="宋体" w:cs="Times New Roman"/>
                      <w:b/>
                      <w:color w:val="auto"/>
                      <w:sz w:val="24"/>
                      <w:lang w:eastAsia="zh-CN"/>
                    </w:rPr>
                    <w:t>）</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t>允差（</w:t>
                  </w:r>
                  <w:r>
                    <w:rPr>
                      <w:rFonts w:hint="default" w:ascii="Times New Roman" w:hAnsi="Times New Roman" w:eastAsia="宋体" w:cs="Times New Roman"/>
                      <w:b/>
                      <w:color w:val="auto"/>
                      <w:sz w:val="24"/>
                      <w:lang w:val="en-US" w:eastAsia="zh-CN"/>
                    </w:rPr>
                    <w:t>%</w:t>
                  </w:r>
                  <w:r>
                    <w:rPr>
                      <w:rFonts w:hint="default" w:ascii="Times New Roman" w:hAnsi="Times New Roman" w:eastAsia="宋体" w:cs="Times New Roman"/>
                      <w:b/>
                      <w:color w:val="auto"/>
                      <w:sz w:val="24"/>
                      <w:lang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w:t>
                  </w:r>
                </w:p>
              </w:tc>
              <w:tc>
                <w:tcPr>
                  <w:tcW w:w="50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自动烟尘（气）测试仪</w:t>
                  </w:r>
                </w:p>
              </w:tc>
              <w:tc>
                <w:tcPr>
                  <w:tcW w:w="46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3012H</w:t>
                  </w:r>
                </w:p>
              </w:tc>
              <w:tc>
                <w:tcPr>
                  <w:tcW w:w="5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sz w:val="24"/>
                      <w:lang w:val="en-US" w:eastAsia="zh-CN"/>
                    </w:rPr>
                    <w:t>XH079</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30.0</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30.1</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-0.3</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color w:val="auto"/>
                      <w:kern w:val="0"/>
                      <w:sz w:val="24"/>
                      <w:szCs w:val="24"/>
                      <w:u w:val="none"/>
                      <w:lang w:val="en-US" w:eastAsia="zh-CN" w:bidi="ar"/>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5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sz w:val="24"/>
                      <w:lang w:val="en-US" w:eastAsia="zh-CN"/>
                    </w:rPr>
                    <w:t>XH080</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30.0</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29.8</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0.7</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restart"/>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color w:val="auto"/>
                      <w:kern w:val="2"/>
                      <w:sz w:val="24"/>
                      <w:szCs w:val="24"/>
                      <w:lang w:val="en-US" w:eastAsia="zh-CN"/>
                    </w:rPr>
                    <w:t>2</w:t>
                  </w:r>
                </w:p>
              </w:tc>
              <w:tc>
                <w:tcPr>
                  <w:tcW w:w="50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lang w:eastAsia="zh-CN"/>
                    </w:rPr>
                    <w:t>中流量</w:t>
                  </w:r>
                  <w:r>
                    <w:rPr>
                      <w:rFonts w:hint="default" w:ascii="Times New Roman" w:hAnsi="Times New Roman" w:eastAsia="宋体" w:cs="Times New Roman"/>
                      <w:color w:val="auto"/>
                      <w:sz w:val="24"/>
                    </w:rPr>
                    <w:t>智能TSP采样器</w:t>
                  </w:r>
                </w:p>
              </w:tc>
              <w:tc>
                <w:tcPr>
                  <w:tcW w:w="46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20</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0</w:t>
                  </w: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color w:val="auto"/>
                      <w:sz w:val="24"/>
                      <w:lang w:val="en-US" w:eastAsia="zh-CN"/>
                    </w:rPr>
                    <w:t>XH060-1</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100.0</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99.5</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0.5</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color w:val="auto"/>
                      <w:sz w:val="24"/>
                      <w:szCs w:val="24"/>
                      <w:vertAlign w:val="baseline"/>
                      <w:lang w:val="en-US" w:eastAsia="zh-CN"/>
                    </w:rPr>
                    <w:t>±2</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kern w:val="2"/>
                      <w:sz w:val="24"/>
                      <w:szCs w:val="24"/>
                      <w:lang w:val="en-US" w:eastAsia="zh-CN"/>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4"/>
                      <w:lang w:eastAsia="zh-CN"/>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A</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0.504</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-0.8</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kern w:val="2"/>
                      <w:sz w:val="24"/>
                      <w:szCs w:val="24"/>
                      <w:lang w:val="en-US" w:eastAsia="zh-CN"/>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4"/>
                      <w:lang w:eastAsia="zh-CN"/>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B</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0.498</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0.4</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color w:val="auto"/>
                      <w:sz w:val="24"/>
                      <w:lang w:val="en-US" w:eastAsia="zh-CN"/>
                    </w:rPr>
                    <w:t>XH060-2</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100.0</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100.6</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-0.6</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kern w:val="2"/>
                      <w:sz w:val="24"/>
                      <w:lang w:val="en-US" w:eastAsia="zh-CN" w:bidi="ar-SA"/>
                    </w:rPr>
                  </w:pPr>
                  <w:r>
                    <w:rPr>
                      <w:rFonts w:hint="default" w:ascii="Times New Roman" w:hAnsi="Times New Roman" w:eastAsia="宋体" w:cs="Times New Roman"/>
                      <w:color w:val="auto"/>
                      <w:sz w:val="24"/>
                      <w:szCs w:val="24"/>
                      <w:vertAlign w:val="baseline"/>
                      <w:lang w:val="en-US" w:eastAsia="zh-CN"/>
                    </w:rPr>
                    <w:t>±2</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A</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0.504</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-0.8</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B</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0.501</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-0.2</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XH060-3</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100.0</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99.5</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0.5</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kern w:val="2"/>
                      <w:sz w:val="24"/>
                      <w:lang w:val="en-US" w:eastAsia="zh-CN" w:bidi="ar-SA"/>
                    </w:rPr>
                  </w:pPr>
                  <w:r>
                    <w:rPr>
                      <w:rFonts w:hint="default" w:ascii="Times New Roman" w:hAnsi="Times New Roman" w:eastAsia="宋体" w:cs="Times New Roman"/>
                      <w:color w:val="auto"/>
                      <w:sz w:val="24"/>
                      <w:szCs w:val="24"/>
                      <w:vertAlign w:val="baseline"/>
                      <w:lang w:val="en-US" w:eastAsia="zh-CN"/>
                    </w:rPr>
                    <w:t>±2</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A</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0.497</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0.6</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B</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0.502</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-0.4</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XH060-4</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100.0</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100.2</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-0.2</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A</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0.498</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0.4</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4"/>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B</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0.503</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-0.6</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val="0"/>
                      <w:bCs/>
                      <w:color w:val="auto"/>
                      <w:sz w:val="24"/>
                      <w:lang w:val="en-US" w:eastAsia="zh-CN"/>
                    </w:rPr>
                    <w:t>3</w:t>
                  </w:r>
                </w:p>
              </w:tc>
              <w:tc>
                <w:tcPr>
                  <w:tcW w:w="50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lang w:val="en-US" w:eastAsia="zh-CN"/>
                    </w:rPr>
                    <w:t>智能双路烟气采样器</w:t>
                  </w:r>
                </w:p>
              </w:tc>
              <w:tc>
                <w:tcPr>
                  <w:tcW w:w="46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lang w:val="en-US" w:eastAsia="zh-CN"/>
                    </w:rPr>
                    <w:t>3072</w:t>
                  </w: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XH083</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A</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0.497</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0.6</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B</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0.498</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0.4</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lang w:val="en-US" w:eastAsia="zh-CN"/>
                    </w:rPr>
                    <w:t>XH158</w:t>
                  </w: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A</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0.501</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-0.2</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5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4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rPr>
                  </w:pPr>
                </w:p>
              </w:tc>
              <w:tc>
                <w:tcPr>
                  <w:tcW w:w="3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B</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0.5</w:t>
                  </w:r>
                </w:p>
              </w:tc>
              <w:tc>
                <w:tcPr>
                  <w:tcW w:w="7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0.499</w:t>
                  </w:r>
                </w:p>
              </w:tc>
              <w:tc>
                <w:tcPr>
                  <w:tcW w:w="5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0.2</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±2.5</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合格</w:t>
                  </w:r>
                </w:p>
              </w:tc>
            </w:tr>
          </w:tbl>
          <w:p>
            <w:pPr>
              <w:numPr>
                <w:ilvl w:val="0"/>
                <w:numId w:val="0"/>
              </w:numPr>
              <w:spacing w:line="480" w:lineRule="exact"/>
              <w:rPr>
                <w:rFonts w:hint="default" w:hAnsi="宋体"/>
                <w:color w:val="FF0000"/>
                <w:sz w:val="24"/>
                <w:lang w:val="en-US" w:eastAsia="zh-CN"/>
              </w:rPr>
            </w:pPr>
          </w:p>
        </w:tc>
      </w:tr>
    </w:tbl>
    <w:p>
      <w:pPr>
        <w:rPr>
          <w:rFonts w:hint="eastAsia" w:ascii="宋体" w:hAnsi="宋体" w:eastAsia="宋体" w:cs="宋体"/>
          <w:b/>
          <w:color w:val="FF0000"/>
          <w:sz w:val="30"/>
          <w:szCs w:val="30"/>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宋体" w:hAnsi="宋体" w:eastAsia="宋体" w:cs="宋体"/>
          <w:b/>
          <w:color w:val="auto"/>
          <w:sz w:val="30"/>
          <w:szCs w:val="30"/>
        </w:rPr>
      </w:pPr>
      <w:r>
        <w:rPr>
          <w:rFonts w:hint="eastAsia" w:ascii="宋体" w:hAnsi="宋体" w:eastAsia="宋体" w:cs="宋体"/>
          <w:b/>
          <w:color w:val="auto"/>
          <w:sz w:val="30"/>
          <w:szCs w:val="30"/>
          <w:lang w:eastAsia="zh-CN"/>
        </w:rPr>
        <w:t>续</w:t>
      </w:r>
      <w:r>
        <w:rPr>
          <w:rFonts w:hint="eastAsia" w:ascii="宋体" w:hAnsi="宋体" w:eastAsia="宋体" w:cs="宋体"/>
          <w:b/>
          <w:color w:val="auto"/>
          <w:sz w:val="30"/>
          <w:szCs w:val="30"/>
        </w:rPr>
        <w:t>表五</w:t>
      </w:r>
    </w:p>
    <w:tbl>
      <w:tblPr>
        <w:tblStyle w:val="19"/>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5" w:hRule="atLeast"/>
          <w:jc w:val="center"/>
        </w:trPr>
        <w:tc>
          <w:tcPr>
            <w:tcW w:w="9494" w:type="dxa"/>
            <w:noWrap w:val="0"/>
            <w:vAlign w:val="top"/>
          </w:tcPr>
          <w:p>
            <w:pPr>
              <w:keepNext w:val="0"/>
              <w:keepLines w:val="0"/>
              <w:pageBreakBefore w:val="0"/>
              <w:widowControl w:val="0"/>
              <w:tabs>
                <w:tab w:val="left" w:pos="1255"/>
              </w:tabs>
              <w:kinsoku/>
              <w:wordWrap/>
              <w:overflowPunct/>
              <w:topLinePunct w:val="0"/>
              <w:autoSpaceDE/>
              <w:autoSpaceDN/>
              <w:bidi w:val="0"/>
              <w:adjustRightInd w:val="0"/>
              <w:snapToGrid/>
              <w:spacing w:before="181" w:beforeLines="50"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续7、</w:t>
            </w:r>
            <w:r>
              <w:rPr>
                <w:rFonts w:hint="default" w:ascii="宋体" w:hAnsi="宋体" w:eastAsia="宋体" w:cs="宋体"/>
                <w:color w:val="auto"/>
                <w:sz w:val="24"/>
                <w:szCs w:val="24"/>
                <w:lang w:val="en-US" w:eastAsia="zh-CN"/>
              </w:rPr>
              <w:t>仪器检定/校准情况</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245"/>
              <w:gridCol w:w="1262"/>
              <w:gridCol w:w="1190"/>
              <w:gridCol w:w="1766"/>
              <w:gridCol w:w="1959"/>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序号</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仪器名称</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设备型号</w:t>
                  </w: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设备</w:t>
                  </w:r>
                  <w:r>
                    <w:rPr>
                      <w:rFonts w:hint="default" w:ascii="Times New Roman" w:hAnsi="Times New Roman" w:eastAsia="宋体" w:cs="Times New Roman"/>
                      <w:b/>
                      <w:color w:val="auto"/>
                      <w:sz w:val="24"/>
                      <w:lang w:eastAsia="zh-CN"/>
                    </w:rPr>
                    <w:t>编号</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检定单位</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证书编号</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9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1</w:t>
                  </w:r>
                </w:p>
              </w:tc>
              <w:tc>
                <w:tcPr>
                  <w:tcW w:w="67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空气/智能TSP综合采样器</w:t>
                  </w:r>
                </w:p>
              </w:tc>
              <w:tc>
                <w:tcPr>
                  <w:tcW w:w="68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2050</w:t>
                  </w: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XH060-1</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HYHH20-09241</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2021.08.31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p>
              </w:tc>
              <w:tc>
                <w:tcPr>
                  <w:tcW w:w="6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8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XH060-2</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HYHH20-09247</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2021.08.31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p>
              </w:tc>
              <w:tc>
                <w:tcPr>
                  <w:tcW w:w="6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8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XH060-3</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HYHH20-09246</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2021.08.31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2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auto"/>
                      <w:sz w:val="24"/>
                    </w:rPr>
                  </w:pPr>
                </w:p>
              </w:tc>
              <w:tc>
                <w:tcPr>
                  <w:tcW w:w="6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8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XH060-4</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HYHH20-09245</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2021.08.31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9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2</w:t>
                  </w:r>
                </w:p>
              </w:tc>
              <w:tc>
                <w:tcPr>
                  <w:tcW w:w="67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自动烟尘（气）测试仪</w:t>
                  </w:r>
                </w:p>
              </w:tc>
              <w:tc>
                <w:tcPr>
                  <w:tcW w:w="68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3012H</w:t>
                  </w: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XH079</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HYHH21-00420</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2022.02.18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rPr>
                  </w:pPr>
                </w:p>
              </w:tc>
              <w:tc>
                <w:tcPr>
                  <w:tcW w:w="6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8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XH080</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HYHH21-00417</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2022.02.18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9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w:t>
                  </w:r>
                </w:p>
              </w:tc>
              <w:tc>
                <w:tcPr>
                  <w:tcW w:w="67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智能烟气采样器</w:t>
                  </w:r>
                </w:p>
              </w:tc>
              <w:tc>
                <w:tcPr>
                  <w:tcW w:w="68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3072</w:t>
                  </w: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XH083</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HYHH21-00840</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2022.02.18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lang w:val="en-US" w:eastAsia="zh-CN" w:bidi="ar-SA"/>
                    </w:rPr>
                  </w:pPr>
                </w:p>
              </w:tc>
              <w:tc>
                <w:tcPr>
                  <w:tcW w:w="67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8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XH158</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HYHH20-09416</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2021.08.31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92" w:type="pct"/>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多功能声级计</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AWA5680</w:t>
                  </w:r>
                </w:p>
              </w:tc>
              <w:tc>
                <w:tcPr>
                  <w:tcW w:w="6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color w:val="auto"/>
                      <w:kern w:val="0"/>
                      <w:sz w:val="24"/>
                      <w:szCs w:val="24"/>
                      <w:u w:val="none"/>
                      <w:lang w:val="en-US" w:eastAsia="zh-CN" w:bidi="ar"/>
                    </w:rPr>
                    <w:t>XH033</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DCSS21-00488</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2022.03.15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92" w:type="pct"/>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5</w:t>
                  </w:r>
                </w:p>
              </w:tc>
              <w:tc>
                <w:tcPr>
                  <w:tcW w:w="672" w:type="pct"/>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2"/>
                      <w:sz w:val="24"/>
                      <w:szCs w:val="24"/>
                      <w:vertAlign w:val="baseline"/>
                      <w:lang w:val="en-US" w:eastAsia="zh-CN" w:bidi="ar-SA"/>
                    </w:rPr>
                    <w:t>声校准器</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vertAlign w:val="baseline"/>
                      <w:lang w:val="en-US" w:eastAsia="zh-CN" w:bidi="ar-SA"/>
                    </w:rPr>
                    <w:t>AWA6221B</w:t>
                  </w:r>
                </w:p>
              </w:tc>
              <w:tc>
                <w:tcPr>
                  <w:tcW w:w="6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color w:val="auto"/>
                      <w:kern w:val="0"/>
                      <w:sz w:val="24"/>
                      <w:szCs w:val="24"/>
                      <w:u w:val="none"/>
                      <w:lang w:val="en-US" w:eastAsia="zh-CN" w:bidi="ar"/>
                    </w:rPr>
                    <w:t>XH036</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DCSS21-00486</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2022.03.15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292" w:type="pct"/>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w:t>
                  </w:r>
                </w:p>
              </w:tc>
              <w:tc>
                <w:tcPr>
                  <w:tcW w:w="672" w:type="pct"/>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2"/>
                      <w:sz w:val="24"/>
                      <w:szCs w:val="24"/>
                      <w:vertAlign w:val="baseline"/>
                      <w:lang w:val="en-US" w:eastAsia="zh-CN" w:bidi="ar-SA"/>
                    </w:rPr>
                    <w:t>数字风速表</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vertAlign w:val="baseline"/>
                      <w:lang w:val="en-US" w:eastAsia="zh-CN" w:bidi="ar-SA"/>
                    </w:rPr>
                    <w:t>GM8902</w:t>
                  </w:r>
                </w:p>
              </w:tc>
              <w:tc>
                <w:tcPr>
                  <w:tcW w:w="6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color w:val="auto"/>
                      <w:kern w:val="0"/>
                      <w:sz w:val="24"/>
                      <w:szCs w:val="24"/>
                      <w:u w:val="none"/>
                      <w:lang w:val="en-US" w:eastAsia="zh-CN" w:bidi="ar"/>
                    </w:rPr>
                    <w:t>XH009</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LLGF21-JZ00136</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2022.03.15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92" w:type="pct"/>
                  <w:tcBorders>
                    <w:tl2br w:val="nil"/>
                    <w:tr2bl w:val="nil"/>
                  </w:tcBorders>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sz w:val="24"/>
                      <w:lang w:val="en-US" w:eastAsia="zh-CN"/>
                    </w:rPr>
                    <w:t>气相色谱仪</w:t>
                  </w:r>
                </w:p>
              </w:tc>
              <w:tc>
                <w:tcPr>
                  <w:tcW w:w="6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sz w:val="24"/>
                      <w:lang w:val="en-US" w:eastAsia="zh-CN"/>
                    </w:rPr>
                    <w:t>9790Ⅱ</w:t>
                  </w: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sz w:val="24"/>
                      <w:lang w:val="en-US" w:eastAsia="zh-CN"/>
                    </w:rPr>
                    <w:t>XH131</w:t>
                  </w:r>
                </w:p>
              </w:tc>
              <w:tc>
                <w:tcPr>
                  <w:tcW w:w="9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sz w:val="24"/>
                      <w:lang w:val="en-US" w:eastAsia="zh-CN"/>
                    </w:rPr>
                    <w:t>河北省计量监督检测研究院</w:t>
                  </w:r>
                </w:p>
              </w:tc>
              <w:tc>
                <w:tcPr>
                  <w:tcW w:w="10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HYHH21-01051</w:t>
                  </w:r>
                </w:p>
              </w:tc>
              <w:tc>
                <w:tcPr>
                  <w:tcW w:w="7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2023.01.27</w:t>
                  </w:r>
                </w:p>
              </w:tc>
            </w:tr>
          </w:tbl>
          <w:p>
            <w:pPr>
              <w:numPr>
                <w:ilvl w:val="0"/>
                <w:numId w:val="0"/>
              </w:numPr>
              <w:spacing w:line="480" w:lineRule="exact"/>
              <w:rPr>
                <w:rFonts w:hint="default" w:hAnsi="宋体"/>
                <w:color w:val="auto"/>
                <w:sz w:val="24"/>
                <w:lang w:val="en-US" w:eastAsia="zh-CN"/>
              </w:rPr>
            </w:pPr>
          </w:p>
        </w:tc>
      </w:tr>
    </w:tbl>
    <w:p>
      <w:pPr>
        <w:rPr>
          <w:rFonts w:hint="eastAsia" w:ascii="宋体" w:hAnsi="宋体" w:eastAsia="宋体" w:cs="宋体"/>
          <w:b/>
          <w:color w:val="FF0000"/>
          <w:sz w:val="30"/>
          <w:szCs w:val="30"/>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rPr>
          <w:rFonts w:hint="eastAsia" w:ascii="宋体" w:hAnsi="宋体" w:eastAsia="宋体" w:cs="宋体"/>
          <w:b/>
          <w:color w:val="auto"/>
          <w:sz w:val="30"/>
          <w:szCs w:val="30"/>
        </w:rPr>
      </w:pPr>
      <w:r>
        <w:rPr>
          <w:rFonts w:hint="eastAsia" w:ascii="宋体" w:hAnsi="宋体" w:eastAsia="宋体" w:cs="宋体"/>
          <w:b/>
          <w:color w:val="auto"/>
          <w:sz w:val="30"/>
          <w:szCs w:val="30"/>
        </w:rPr>
        <w:t>表六</w:t>
      </w:r>
    </w:p>
    <w:tbl>
      <w:tblPr>
        <w:tblStyle w:val="19"/>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3" w:hRule="atLeast"/>
          <w:jc w:val="center"/>
        </w:trPr>
        <w:tc>
          <w:tcPr>
            <w:tcW w:w="9465" w:type="dxa"/>
            <w:noWrap w:val="0"/>
            <w:vAlign w:val="top"/>
          </w:tcPr>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验收监测内容：</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一、检测点位、项目及频次</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default" w:ascii="宋体" w:hAnsi="宋体" w:eastAsia="宋体" w:cs="宋体"/>
                <w:color w:val="auto"/>
                <w:sz w:val="24"/>
                <w:szCs w:val="24"/>
                <w:lang w:val="en-US" w:eastAsia="zh-CN"/>
              </w:rPr>
              <w:t>无组织排放废气检测点位、项目及频次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2"/>
              <w:gridCol w:w="3074"/>
              <w:gridCol w:w="2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7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检测位置</w:t>
                  </w:r>
                </w:p>
              </w:tc>
              <w:tc>
                <w:tcPr>
                  <w:tcW w:w="16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检测内容</w:t>
                  </w:r>
                </w:p>
              </w:tc>
              <w:tc>
                <w:tcPr>
                  <w:tcW w:w="1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7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lang w:eastAsia="zh-CN"/>
                    </w:rPr>
                    <w:t>厂界下风向</w:t>
                  </w:r>
                  <w:r>
                    <w:rPr>
                      <w:rFonts w:hint="default" w:ascii="Times New Roman" w:hAnsi="Times New Roman" w:eastAsia="宋体" w:cs="Times New Roman"/>
                      <w:color w:val="auto"/>
                      <w:sz w:val="24"/>
                    </w:rPr>
                    <w:t>布设</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个检测点</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w:t>
                  </w:r>
                  <w:r>
                    <w:rPr>
                      <w:rFonts w:hint="eastAsia" w:ascii="仿宋" w:hAnsi="仿宋" w:eastAsia="仿宋" w:cs="仿宋"/>
                      <w:color w:val="auto"/>
                      <w:sz w:val="24"/>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w:t>
                  </w:r>
                  <w:r>
                    <w:rPr>
                      <w:rFonts w:hint="eastAsia" w:ascii="仿宋" w:hAnsi="仿宋" w:eastAsia="仿宋" w:cs="仿宋"/>
                      <w:color w:val="auto"/>
                      <w:sz w:val="24"/>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w:t>
                  </w:r>
                  <w:r>
                    <w:rPr>
                      <w:rFonts w:hint="eastAsia" w:ascii="仿宋" w:hAnsi="仿宋" w:eastAsia="仿宋" w:cs="仿宋"/>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w:t>
                  </w:r>
                </w:p>
              </w:tc>
              <w:tc>
                <w:tcPr>
                  <w:tcW w:w="16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苯、甲苯、二甲苯、非甲烷总烃</w:t>
                  </w:r>
                </w:p>
              </w:tc>
              <w:tc>
                <w:tcPr>
                  <w:tcW w:w="1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检测2天，每天检测</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7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危废暂存仓库车间口</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仿宋" w:hAnsi="仿宋" w:eastAsia="仿宋" w:cs="仿宋"/>
                      <w:color w:val="auto"/>
                      <w:sz w:val="24"/>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vertAlign w:val="superscript"/>
                    </w:rPr>
                    <w:t>#</w:t>
                  </w:r>
                  <w:r>
                    <w:rPr>
                      <w:rFonts w:hint="default" w:ascii="Times New Roman" w:hAnsi="Times New Roman" w:eastAsia="宋体" w:cs="Times New Roman"/>
                      <w:color w:val="auto"/>
                      <w:sz w:val="24"/>
                    </w:rPr>
                    <w:t>）</w:t>
                  </w:r>
                </w:p>
              </w:tc>
              <w:tc>
                <w:tcPr>
                  <w:tcW w:w="16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苯、甲苯、二甲苯、非甲烷总烃</w:t>
                  </w:r>
                </w:p>
              </w:tc>
              <w:tc>
                <w:tcPr>
                  <w:tcW w:w="1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检测2天，每天检测</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次</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000000"/>
                      <w:sz w:val="24"/>
                      <w:vertAlign w:val="baseline"/>
                      <w:lang w:eastAsia="zh-CN"/>
                    </w:rPr>
                    <w:t>另外</w:t>
                  </w:r>
                  <w:r>
                    <w:rPr>
                      <w:rFonts w:hint="default" w:ascii="Times New Roman" w:hAnsi="Times New Roman" w:eastAsia="宋体" w:cs="Times New Roman"/>
                      <w:color w:val="000000"/>
                      <w:sz w:val="24"/>
                      <w:lang w:val="en-US" w:eastAsia="zh-CN"/>
                    </w:rPr>
                    <w:t>测定任意一次浓度值</w:t>
                  </w: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default" w:ascii="宋体" w:hAnsi="宋体" w:eastAsia="宋体" w:cs="宋体"/>
                <w:color w:val="auto"/>
                <w:sz w:val="24"/>
                <w:szCs w:val="24"/>
                <w:lang w:val="en-US" w:eastAsia="zh-CN"/>
              </w:rPr>
              <w:t>有组织排放废气检测点位、项目及频次</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5"/>
              <w:gridCol w:w="2442"/>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2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检测位置</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检测内容</w:t>
                  </w:r>
                </w:p>
              </w:tc>
              <w:tc>
                <w:tcPr>
                  <w:tcW w:w="14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2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auto"/>
                      <w:sz w:val="24"/>
                      <w:lang w:val="en-US" w:eastAsia="zh-CN"/>
                    </w:rPr>
                    <w:t>危废暂存仓库车间废气治理设施进口</w:t>
                  </w:r>
                </w:p>
              </w:tc>
              <w:tc>
                <w:tcPr>
                  <w:tcW w:w="132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苯、甲苯、二甲苯、</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非甲烷总烃</w:t>
                  </w:r>
                </w:p>
              </w:tc>
              <w:tc>
                <w:tcPr>
                  <w:tcW w:w="145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检测2天，每天检测3次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222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auto"/>
                      <w:sz w:val="24"/>
                      <w:lang w:val="en-US" w:eastAsia="zh-CN"/>
                    </w:rPr>
                    <w:t>危废暂存仓库车间废气治理设施出口排气筒上</w:t>
                  </w:r>
                </w:p>
              </w:tc>
              <w:tc>
                <w:tcPr>
                  <w:tcW w:w="13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sz w:val="24"/>
                      <w:lang w:val="en-US" w:eastAsia="zh-CN"/>
                    </w:rPr>
                  </w:pPr>
                </w:p>
              </w:tc>
              <w:tc>
                <w:tcPr>
                  <w:tcW w:w="145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sz w:val="24"/>
                    </w:rPr>
                  </w:pP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default" w:ascii="宋体" w:hAnsi="宋体" w:eastAsia="宋体" w:cs="宋体"/>
                <w:color w:val="auto"/>
                <w:sz w:val="24"/>
                <w:szCs w:val="24"/>
                <w:lang w:val="en-US" w:eastAsia="zh-CN"/>
              </w:rPr>
              <w:t>噪声检测点位、项目及频次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3107"/>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检测位置</w:t>
                  </w:r>
                </w:p>
              </w:tc>
              <w:tc>
                <w:tcPr>
                  <w:tcW w:w="310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检测内容</w:t>
                  </w:r>
                </w:p>
              </w:tc>
              <w:tc>
                <w:tcPr>
                  <w:tcW w:w="34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7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厂界</w:t>
                  </w:r>
                  <w:r>
                    <w:rPr>
                      <w:rFonts w:hint="eastAsia" w:ascii="Times New Roman" w:hAnsi="Times New Roman" w:eastAsia="宋体" w:cs="Times New Roman"/>
                      <w:color w:val="auto"/>
                      <w:sz w:val="24"/>
                      <w:lang w:val="en-US" w:eastAsia="zh-CN"/>
                    </w:rPr>
                    <w:t>四周</w:t>
                  </w:r>
                  <w:r>
                    <w:rPr>
                      <w:rFonts w:hint="default" w:ascii="Times New Roman" w:hAnsi="Times New Roman" w:eastAsia="宋体" w:cs="Times New Roman"/>
                      <w:color w:val="auto"/>
                      <w:sz w:val="24"/>
                      <w:lang w:val="en-US" w:eastAsia="zh-CN"/>
                    </w:rPr>
                    <w:t>最大声源处</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各布设一个监测点位</w:t>
                  </w:r>
                </w:p>
              </w:tc>
              <w:tc>
                <w:tcPr>
                  <w:tcW w:w="310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连续等效A声级，Leq(A)</w:t>
                  </w:r>
                </w:p>
              </w:tc>
              <w:tc>
                <w:tcPr>
                  <w:tcW w:w="34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检测2天，每天昼间监测1次</w:t>
                  </w: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二、检测分析方法</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default" w:ascii="宋体" w:hAnsi="宋体" w:eastAsia="宋体" w:cs="宋体"/>
                <w:color w:val="auto"/>
                <w:sz w:val="24"/>
                <w:szCs w:val="24"/>
                <w:lang w:val="en-US" w:eastAsia="zh-CN"/>
              </w:rPr>
              <w:t>无组织排放废气</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492"/>
              <w:gridCol w:w="2480"/>
              <w:gridCol w:w="3039"/>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47" w:type="dxa"/>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序号</w:t>
                  </w:r>
                </w:p>
              </w:tc>
              <w:tc>
                <w:tcPr>
                  <w:tcW w:w="1492"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检测项目</w:t>
                  </w:r>
                </w:p>
              </w:tc>
              <w:tc>
                <w:tcPr>
                  <w:tcW w:w="2480"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检测方法</w:t>
                  </w:r>
                </w:p>
              </w:tc>
              <w:tc>
                <w:tcPr>
                  <w:tcW w:w="3039"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仪器名称及型号</w:t>
                  </w:r>
                </w:p>
              </w:tc>
              <w:tc>
                <w:tcPr>
                  <w:tcW w:w="1481" w:type="dxa"/>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747" w:type="dxa"/>
                  <w:tcBorders>
                    <w:top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p>
              </w:tc>
              <w:tc>
                <w:tcPr>
                  <w:tcW w:w="14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非甲烷</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总烃</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（以碳计）</w:t>
                  </w:r>
                </w:p>
              </w:tc>
              <w:tc>
                <w:tcPr>
                  <w:tcW w:w="24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《环境空气 总烃、甲烷和非甲烷总烃的测定 直接进样-气相色谱法》HJ 604-2017</w:t>
                  </w:r>
                </w:p>
              </w:tc>
              <w:tc>
                <w:tcPr>
                  <w:tcW w:w="3039"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ZR-3520型真空箱气袋采样器</w:t>
                  </w:r>
                  <w:r>
                    <w:rPr>
                      <w:rFonts w:hint="eastAsia" w:ascii="Times New Roman" w:hAnsi="Times New Roman" w:eastAsia="宋体" w:cs="Times New Roman"/>
                      <w:color w:val="auto"/>
                      <w:sz w:val="24"/>
                      <w:lang w:val="en-US" w:eastAsia="zh-CN"/>
                    </w:rPr>
                    <w:t>/XH174-1/XH174-2、9790Ⅱ气相色谱仪/XH131</w:t>
                  </w:r>
                </w:p>
              </w:tc>
              <w:tc>
                <w:tcPr>
                  <w:tcW w:w="1481" w:type="dxa"/>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0.07</w:t>
                  </w:r>
                  <w:r>
                    <w:rPr>
                      <w:rFonts w:hint="default" w:ascii="Times New Roman" w:hAnsi="Times New Roman" w:eastAsia="宋体" w:cs="Times New Roman"/>
                      <w:color w:val="auto"/>
                      <w:sz w:val="24"/>
                      <w:lang w:val="en-US" w:eastAsia="zh-CN"/>
                    </w:rPr>
                    <w:t>mg/m</w:t>
                  </w:r>
                  <w:r>
                    <w:rPr>
                      <w:rFonts w:hint="default" w:ascii="Times New Roman" w:hAnsi="Times New Roman" w:eastAsia="宋体" w:cs="Times New Roman"/>
                      <w:color w:val="auto"/>
                      <w:sz w:val="24"/>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4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p>
              </w:tc>
              <w:tc>
                <w:tcPr>
                  <w:tcW w:w="149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苯、甲苯、</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二甲苯</w:t>
                  </w:r>
                </w:p>
              </w:tc>
              <w:tc>
                <w:tcPr>
                  <w:tcW w:w="248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《环境空气 苯系物的测定 活性炭吸附/ 二硫化碳解吸-气相色谱法》HJ 584-2010</w:t>
                  </w:r>
                </w:p>
              </w:tc>
              <w:tc>
                <w:tcPr>
                  <w:tcW w:w="303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崂应2050型空气/智能TSP综合采样器/XH060-1/XH060-2/XH060-3/</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XH060-4、9790Ⅱ气相色谱仪/XH131</w:t>
                  </w:r>
                </w:p>
              </w:tc>
              <w:tc>
                <w:tcPr>
                  <w:tcW w:w="148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1.5×10</w:t>
                  </w:r>
                  <w:r>
                    <w:rPr>
                      <w:rFonts w:hint="default" w:ascii="Times New Roman" w:hAnsi="Times New Roman" w:eastAsia="宋体" w:cs="Times New Roman"/>
                      <w:color w:val="auto"/>
                      <w:sz w:val="24"/>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mg/m</w:t>
                  </w:r>
                  <w:r>
                    <w:rPr>
                      <w:rFonts w:hint="default" w:ascii="Times New Roman" w:hAnsi="Times New Roman" w:eastAsia="宋体" w:cs="Times New Roman"/>
                      <w:color w:val="auto"/>
                      <w:sz w:val="24"/>
                      <w:vertAlign w:val="superscript"/>
                      <w:lang w:val="en-US" w:eastAsia="zh-CN"/>
                    </w:rPr>
                    <w:t>3</w:t>
                  </w: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default" w:ascii="宋体" w:hAnsi="宋体" w:eastAsia="宋体" w:cs="宋体"/>
                <w:color w:val="auto"/>
                <w:sz w:val="24"/>
                <w:szCs w:val="24"/>
                <w:lang w:val="en-US" w:eastAsia="zh-CN"/>
              </w:rPr>
              <w:t>噪声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649"/>
              <w:gridCol w:w="3878"/>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60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序号</w:t>
                  </w:r>
                </w:p>
              </w:tc>
              <w:tc>
                <w:tcPr>
                  <w:tcW w:w="8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检测项目</w:t>
                  </w:r>
                </w:p>
              </w:tc>
              <w:tc>
                <w:tcPr>
                  <w:tcW w:w="2098"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检测方法</w:t>
                  </w:r>
                </w:p>
              </w:tc>
              <w:tc>
                <w:tcPr>
                  <w:tcW w:w="140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仪器名称及型号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60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w:t>
                  </w:r>
                </w:p>
              </w:tc>
              <w:tc>
                <w:tcPr>
                  <w:tcW w:w="8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等效A声级</w:t>
                  </w:r>
                </w:p>
              </w:tc>
              <w:tc>
                <w:tcPr>
                  <w:tcW w:w="2098"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《工业企业厂界环境噪声排放标准》GB 12348-2008</w:t>
                  </w:r>
                </w:p>
              </w:tc>
              <w:tc>
                <w:tcPr>
                  <w:tcW w:w="140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AWA568</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声级计/XH</w:t>
                  </w:r>
                  <w:r>
                    <w:rPr>
                      <w:rFonts w:hint="eastAsia" w:ascii="Times New Roman" w:hAnsi="Times New Roman" w:eastAsia="宋体" w:cs="Times New Roman"/>
                      <w:color w:val="auto"/>
                      <w:sz w:val="24"/>
                      <w:lang w:val="en-US" w:eastAsia="zh-CN"/>
                    </w:rPr>
                    <w:t>033</w:t>
                  </w:r>
                </w:p>
              </w:tc>
            </w:tr>
          </w:tbl>
          <w:p>
            <w:pPr>
              <w:numPr>
                <w:ilvl w:val="0"/>
                <w:numId w:val="0"/>
              </w:numPr>
              <w:spacing w:line="480" w:lineRule="exact"/>
              <w:rPr>
                <w:rFonts w:hint="eastAsia" w:ascii="宋体" w:hAnsi="宋体" w:eastAsia="宋体" w:cs="宋体"/>
                <w:color w:val="FF0000"/>
                <w:sz w:val="24"/>
                <w:szCs w:val="24"/>
                <w:lang w:val="en-US" w:eastAsia="zh-CN"/>
              </w:rPr>
            </w:pPr>
          </w:p>
        </w:tc>
      </w:tr>
    </w:tbl>
    <w:p>
      <w:pPr>
        <w:spacing w:after="0" w:line="360" w:lineRule="auto"/>
        <w:rPr>
          <w:rFonts w:ascii="Times New Roman" w:hAnsi="Times New Roman" w:cs="Times New Roman" w:eastAsiaTheme="minorEastAsia"/>
          <w:b/>
          <w:color w:val="FF0000"/>
          <w:sz w:val="21"/>
          <w:szCs w:val="21"/>
        </w:rPr>
        <w:sectPr>
          <w:pgSz w:w="11906" w:h="16838"/>
          <w:pgMar w:top="1077" w:right="1440" w:bottom="1077" w:left="144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color w:val="auto"/>
          <w:sz w:val="30"/>
          <w:szCs w:val="30"/>
          <w:lang w:eastAsia="zh-CN"/>
        </w:rPr>
      </w:pPr>
      <w:r>
        <w:rPr>
          <w:rFonts w:hint="eastAsia" w:ascii="宋体" w:hAnsi="宋体" w:eastAsia="宋体" w:cs="宋体"/>
          <w:b/>
          <w:color w:val="auto"/>
          <w:sz w:val="30"/>
          <w:szCs w:val="30"/>
          <w:lang w:eastAsia="zh-CN"/>
        </w:rPr>
        <w:t>表七、废气监测结果</w:t>
      </w:r>
    </w:p>
    <w:tbl>
      <w:tblPr>
        <w:tblStyle w:val="19"/>
        <w:tblW w:w="140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120"/>
        <w:gridCol w:w="1000"/>
        <w:gridCol w:w="1094"/>
        <w:gridCol w:w="1191"/>
        <w:gridCol w:w="1144"/>
        <w:gridCol w:w="1200"/>
        <w:gridCol w:w="1202"/>
        <w:gridCol w:w="4424"/>
        <w:gridCol w:w="8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设施</w:t>
            </w:r>
          </w:p>
        </w:tc>
        <w:tc>
          <w:tcPr>
            <w:tcW w:w="11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日期</w:t>
            </w:r>
          </w:p>
        </w:tc>
        <w:tc>
          <w:tcPr>
            <w:tcW w:w="100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w:t>
            </w:r>
          </w:p>
        </w:tc>
        <w:tc>
          <w:tcPr>
            <w:tcW w:w="2285"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监测点位</w:t>
            </w:r>
          </w:p>
        </w:tc>
        <w:tc>
          <w:tcPr>
            <w:tcW w:w="354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监测结果（mg/m</w:t>
            </w:r>
            <w:r>
              <w:rPr>
                <w:rFonts w:hint="eastAsia" w:ascii="宋体" w:hAnsi="宋体" w:eastAsia="宋体" w:cs="宋体"/>
                <w:b/>
                <w:bCs/>
                <w:color w:val="auto"/>
                <w:sz w:val="24"/>
                <w:szCs w:val="24"/>
                <w:vertAlign w:val="superscript"/>
              </w:rPr>
              <w:t>3</w:t>
            </w:r>
            <w:r>
              <w:rPr>
                <w:rFonts w:hint="eastAsia" w:ascii="宋体" w:hAnsi="宋体" w:eastAsia="宋体" w:cs="宋体"/>
                <w:b/>
                <w:bCs/>
                <w:color w:val="auto"/>
                <w:sz w:val="24"/>
                <w:szCs w:val="24"/>
              </w:rPr>
              <w:t>）</w:t>
            </w:r>
          </w:p>
        </w:tc>
        <w:tc>
          <w:tcPr>
            <w:tcW w:w="44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执行标准及标准值</w:t>
            </w:r>
          </w:p>
        </w:tc>
        <w:tc>
          <w:tcPr>
            <w:tcW w:w="882"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textAlignment w:val="auto"/>
              <w:outlineLvl w:val="9"/>
              <w:rPr>
                <w:rFonts w:hint="eastAsia" w:ascii="宋体" w:hAnsi="宋体" w:eastAsia="宋体" w:cs="宋体"/>
                <w:color w:val="auto"/>
                <w:sz w:val="24"/>
                <w:szCs w:val="24"/>
              </w:rPr>
            </w:pPr>
          </w:p>
        </w:tc>
        <w:tc>
          <w:tcPr>
            <w:tcW w:w="1000"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textAlignment w:val="auto"/>
              <w:outlineLvl w:val="9"/>
              <w:rPr>
                <w:rFonts w:hint="eastAsia" w:ascii="宋体" w:hAnsi="宋体" w:eastAsia="宋体" w:cs="宋体"/>
                <w:color w:val="auto"/>
                <w:sz w:val="24"/>
                <w:szCs w:val="24"/>
              </w:rPr>
            </w:pPr>
          </w:p>
        </w:tc>
        <w:tc>
          <w:tcPr>
            <w:tcW w:w="228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1</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2</w:t>
            </w:r>
          </w:p>
        </w:tc>
        <w:tc>
          <w:tcPr>
            <w:tcW w:w="12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3</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882"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无组织排放</w:t>
            </w:r>
          </w:p>
        </w:tc>
        <w:tc>
          <w:tcPr>
            <w:tcW w:w="11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r>
              <w:rPr>
                <w:rFonts w:hint="eastAsia" w:ascii="宋体" w:hAnsi="宋体" w:eastAsia="宋体" w:cs="宋体"/>
                <w:color w:val="auto"/>
                <w:spacing w:val="-12"/>
                <w:sz w:val="24"/>
                <w:szCs w:val="24"/>
                <w:lang w:val="en-US" w:eastAsia="zh-CN"/>
              </w:rPr>
              <w:t>2021.6.4</w:t>
            </w:r>
          </w:p>
        </w:tc>
        <w:tc>
          <w:tcPr>
            <w:tcW w:w="100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非甲烷总烃</w:t>
            </w:r>
          </w:p>
        </w:tc>
        <w:tc>
          <w:tcPr>
            <w:tcW w:w="109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下风向</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0.42</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0.41</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0.43</w:t>
            </w:r>
          </w:p>
        </w:tc>
        <w:tc>
          <w:tcPr>
            <w:tcW w:w="44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vertAlign w:val="baseline"/>
                <w:lang w:val="en-US" w:eastAsia="zh-CN"/>
              </w:rPr>
              <w:t>DB13/2322-2016表2“其他企业”限值要求：</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vertAlign w:val="baseline"/>
                <w:lang w:val="en-US" w:eastAsia="zh-CN"/>
              </w:rPr>
              <w:t>mg/m</w:t>
            </w:r>
            <w:r>
              <w:rPr>
                <w:rFonts w:hint="default" w:ascii="Times New Roman" w:hAnsi="Times New Roman" w:eastAsia="宋体" w:cs="Times New Roman"/>
                <w:color w:val="auto"/>
                <w:sz w:val="24"/>
                <w:szCs w:val="24"/>
                <w:vertAlign w:val="superscript"/>
                <w:lang w:val="en-US" w:eastAsia="zh-CN"/>
              </w:rPr>
              <w:t>3</w:t>
            </w: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0.47</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0.46</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pacing w:val="-12"/>
                <w:sz w:val="24"/>
                <w:szCs w:val="24"/>
                <w:lang w:val="en-US" w:eastAsia="zh-CN"/>
              </w:rPr>
              <w:t>0.47</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0.48</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0.48</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0.49</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车间口</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vertAlign w:val="superscript"/>
              </w:rPr>
              <w:t>#</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1h平均浓度值</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0.60</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0.59</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pacing w:val="-12"/>
                <w:sz w:val="24"/>
                <w:szCs w:val="24"/>
                <w:lang w:val="en-US" w:eastAsia="zh-CN"/>
              </w:rPr>
              <w:t>0.61</w:t>
            </w:r>
          </w:p>
        </w:tc>
        <w:tc>
          <w:tcPr>
            <w:tcW w:w="4424" w:type="dxa"/>
            <w:vMerge w:val="restart"/>
            <w:noWrap w:val="0"/>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GB37822-2019中的无组织特别排放限值</w:t>
            </w:r>
          </w:p>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厂房外设置监控点，监控点处1h平均浓度值：6.0mg/m</w:t>
            </w:r>
            <w:r>
              <w:rPr>
                <w:rFonts w:hint="default" w:ascii="Times New Roman" w:hAnsi="Times New Roman" w:eastAsia="宋体" w:cs="Times New Roman"/>
                <w:color w:val="auto"/>
                <w:sz w:val="24"/>
                <w:szCs w:val="24"/>
                <w:vertAlign w:val="superscript"/>
                <w:lang w:eastAsia="zh-CN"/>
              </w:rPr>
              <w:t>3</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监控点处任意一次浓度值：20mg/m</w:t>
            </w:r>
            <w:r>
              <w:rPr>
                <w:rFonts w:hint="default" w:ascii="Times New Roman" w:hAnsi="Times New Roman" w:eastAsia="宋体" w:cs="Times New Roman"/>
                <w:color w:val="auto"/>
                <w:sz w:val="24"/>
                <w:szCs w:val="24"/>
                <w:vertAlign w:val="superscript"/>
                <w:lang w:eastAsia="zh-CN"/>
              </w:rPr>
              <w:t>3</w:t>
            </w: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任意一次浓度值</w:t>
            </w:r>
          </w:p>
        </w:tc>
        <w:tc>
          <w:tcPr>
            <w:tcW w:w="354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pacing w:val="-12"/>
                <w:sz w:val="24"/>
                <w:szCs w:val="24"/>
                <w:lang w:val="en-US" w:eastAsia="zh-CN"/>
              </w:rPr>
              <w:t>0.60</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r>
              <w:rPr>
                <w:rFonts w:hint="eastAsia" w:ascii="宋体" w:hAnsi="宋体" w:eastAsia="宋体" w:cs="宋体"/>
                <w:color w:val="auto"/>
                <w:spacing w:val="-12"/>
                <w:sz w:val="24"/>
                <w:szCs w:val="24"/>
                <w:lang w:val="en-US" w:eastAsia="zh-CN"/>
              </w:rPr>
              <w:t>2021.6.5</w:t>
            </w: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下风向</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0.40</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0.40</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0.40</w:t>
            </w:r>
          </w:p>
        </w:tc>
        <w:tc>
          <w:tcPr>
            <w:tcW w:w="44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vertAlign w:val="baseline"/>
                <w:lang w:val="en-US" w:eastAsia="zh-CN"/>
              </w:rPr>
              <w:t>DB13/2322-2016表2“其他企业”限值要求</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vertAlign w:val="baseline"/>
                <w:lang w:val="en-US" w:eastAsia="zh-CN"/>
              </w:rPr>
              <w:t>mg/m</w:t>
            </w:r>
            <w:r>
              <w:rPr>
                <w:rFonts w:hint="default" w:ascii="Times New Roman" w:hAnsi="Times New Roman" w:eastAsia="宋体" w:cs="Times New Roman"/>
                <w:color w:val="auto"/>
                <w:sz w:val="24"/>
                <w:szCs w:val="24"/>
                <w:vertAlign w:val="superscript"/>
                <w:lang w:val="en-US" w:eastAsia="zh-CN"/>
              </w:rPr>
              <w:t>3</w:t>
            </w: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0.47</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0.46</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0.49</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0.47</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0.49</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0.48</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车间口</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vertAlign w:val="superscript"/>
              </w:rPr>
              <w:t>#</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1h平均浓度值</w:t>
            </w:r>
          </w:p>
        </w:tc>
        <w:tc>
          <w:tcPr>
            <w:tcW w:w="114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0.62</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0.60</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0.61</w:t>
            </w:r>
          </w:p>
        </w:tc>
        <w:tc>
          <w:tcPr>
            <w:tcW w:w="4424" w:type="dxa"/>
            <w:vMerge w:val="restart"/>
            <w:noWrap w:val="0"/>
            <w:vAlign w:val="center"/>
          </w:tcPr>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GB37822-2019中的无组织特别排放限值</w:t>
            </w:r>
          </w:p>
          <w:p>
            <w:pPr>
              <w:keepNext w:val="0"/>
              <w:keepLines w:val="0"/>
              <w:pageBreakBefore w:val="0"/>
              <w:widowControl w:val="0"/>
              <w:numPr>
                <w:ilvl w:val="0"/>
                <w:numId w:val="0"/>
              </w:numPr>
              <w:tabs>
                <w:tab w:val="left" w:pos="6034"/>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厂房外设置监控点，监控点处1h平均浓度值：6.0mg/m</w:t>
            </w:r>
            <w:r>
              <w:rPr>
                <w:rFonts w:hint="default" w:ascii="Times New Roman" w:hAnsi="Times New Roman" w:eastAsia="宋体" w:cs="Times New Roman"/>
                <w:color w:val="auto"/>
                <w:sz w:val="24"/>
                <w:szCs w:val="24"/>
                <w:vertAlign w:val="superscript"/>
                <w:lang w:eastAsia="zh-CN"/>
              </w:rPr>
              <w:t>3</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监控点处任意一次浓度值：20mg/m</w:t>
            </w:r>
            <w:r>
              <w:rPr>
                <w:rFonts w:hint="default" w:ascii="Times New Roman" w:hAnsi="Times New Roman" w:eastAsia="宋体" w:cs="Times New Roman"/>
                <w:color w:val="auto"/>
                <w:sz w:val="24"/>
                <w:szCs w:val="24"/>
                <w:vertAlign w:val="superscript"/>
                <w:lang w:eastAsia="zh-CN"/>
              </w:rPr>
              <w:t>3</w:t>
            </w: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任意一次浓度值</w:t>
            </w:r>
          </w:p>
        </w:tc>
        <w:tc>
          <w:tcPr>
            <w:tcW w:w="3546"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pacing w:val="-12"/>
                <w:sz w:val="24"/>
                <w:szCs w:val="24"/>
                <w:lang w:val="en-US" w:eastAsia="zh-CN"/>
              </w:rPr>
              <w:t>0.58</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r>
              <w:rPr>
                <w:rFonts w:hint="eastAsia" w:ascii="宋体" w:hAnsi="宋体" w:eastAsia="宋体" w:cs="宋体"/>
                <w:color w:val="auto"/>
                <w:spacing w:val="-12"/>
                <w:sz w:val="24"/>
                <w:szCs w:val="24"/>
                <w:lang w:val="en-US" w:eastAsia="zh-CN"/>
              </w:rPr>
              <w:t>2021.6.4</w:t>
            </w:r>
          </w:p>
        </w:tc>
        <w:tc>
          <w:tcPr>
            <w:tcW w:w="100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r>
              <w:rPr>
                <w:rFonts w:hint="eastAsia" w:ascii="宋体" w:hAnsi="宋体" w:eastAsia="宋体" w:cs="宋体"/>
                <w:color w:val="auto"/>
                <w:sz w:val="24"/>
                <w:szCs w:val="24"/>
                <w:lang w:eastAsia="zh-CN"/>
              </w:rPr>
              <w:t>苯</w:t>
            </w:r>
          </w:p>
        </w:tc>
        <w:tc>
          <w:tcPr>
            <w:tcW w:w="109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下风向</w:t>
            </w: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42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vertAlign w:val="baseline"/>
                <w:lang w:val="en-US" w:eastAsia="zh-CN"/>
              </w:rPr>
              <w:t>DB13/2322-2016表2“其他企业”限值要求：0.1mg/m</w:t>
            </w:r>
            <w:r>
              <w:rPr>
                <w:rFonts w:hint="default" w:ascii="Times New Roman" w:hAnsi="Times New Roman" w:eastAsia="宋体" w:cs="Times New Roman"/>
                <w:color w:val="auto"/>
                <w:sz w:val="24"/>
                <w:szCs w:val="24"/>
                <w:vertAlign w:val="superscript"/>
                <w:lang w:val="en-US" w:eastAsia="zh-CN"/>
              </w:rPr>
              <w:t>3</w:t>
            </w: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pacing w:val="-12"/>
                <w:sz w:val="24"/>
                <w:szCs w:val="24"/>
                <w:lang w:val="en-US" w:eastAsia="zh-CN"/>
              </w:rPr>
            </w:pPr>
            <w:r>
              <w:rPr>
                <w:rFonts w:hint="eastAsia" w:ascii="宋体" w:hAnsi="宋体" w:eastAsia="宋体" w:cs="宋体"/>
                <w:color w:val="auto"/>
                <w:spacing w:val="-12"/>
                <w:sz w:val="24"/>
                <w:szCs w:val="24"/>
                <w:lang w:val="en-US" w:eastAsia="zh-CN"/>
              </w:rPr>
              <w:t>2021.6.5</w:t>
            </w: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6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rPr>
            </w:pPr>
          </w:p>
        </w:tc>
        <w:tc>
          <w:tcPr>
            <w:tcW w:w="10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9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1191"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42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88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达标</w:t>
            </w:r>
          </w:p>
        </w:tc>
      </w:tr>
    </w:tbl>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bCs/>
          <w:color w:val="FF0000"/>
          <w:szCs w:val="21"/>
        </w:rPr>
      </w:pPr>
      <w:r>
        <w:rPr>
          <w:rFonts w:hint="eastAsia" w:ascii="宋体" w:hAnsi="宋体" w:eastAsia="宋体" w:cs="宋体"/>
          <w:bCs/>
          <w:color w:val="auto"/>
          <w:sz w:val="21"/>
          <w:szCs w:val="21"/>
        </w:rPr>
        <w:t>注：ND表示低于检出限。</w:t>
      </w:r>
    </w:p>
    <w:p>
      <w:pPr>
        <w:spacing w:line="460" w:lineRule="exact"/>
        <w:rPr>
          <w:b/>
          <w:bCs/>
          <w:color w:val="FF0000"/>
          <w:sz w:val="30"/>
        </w:rPr>
        <w:sectPr>
          <w:footerReference r:id="rId12" w:type="default"/>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ascii="宋体" w:hAnsi="宋体" w:eastAsia="宋体" w:cs="宋体"/>
          <w:b/>
          <w:color w:val="auto"/>
          <w:sz w:val="30"/>
          <w:szCs w:val="30"/>
          <w:lang w:eastAsia="zh-CN"/>
        </w:rPr>
      </w:pPr>
      <w:r>
        <w:rPr>
          <w:rFonts w:hint="eastAsia" w:ascii="宋体" w:hAnsi="宋体" w:eastAsia="宋体" w:cs="宋体"/>
          <w:b/>
          <w:color w:val="auto"/>
          <w:sz w:val="30"/>
          <w:szCs w:val="30"/>
          <w:lang w:eastAsia="zh-CN"/>
        </w:rPr>
        <w:t>续表七、废气监测结果</w:t>
      </w:r>
    </w:p>
    <w:tbl>
      <w:tblPr>
        <w:tblStyle w:val="19"/>
        <w:tblW w:w="140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211"/>
        <w:gridCol w:w="1223"/>
        <w:gridCol w:w="1017"/>
        <w:gridCol w:w="960"/>
        <w:gridCol w:w="1189"/>
        <w:gridCol w:w="1200"/>
        <w:gridCol w:w="1359"/>
        <w:gridCol w:w="4009"/>
        <w:gridCol w:w="8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设施</w:t>
            </w:r>
          </w:p>
        </w:tc>
        <w:tc>
          <w:tcPr>
            <w:tcW w:w="121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日期</w:t>
            </w:r>
          </w:p>
        </w:tc>
        <w:tc>
          <w:tcPr>
            <w:tcW w:w="12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w:t>
            </w:r>
          </w:p>
        </w:tc>
        <w:tc>
          <w:tcPr>
            <w:tcW w:w="1977"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监测点位</w:t>
            </w:r>
          </w:p>
        </w:tc>
        <w:tc>
          <w:tcPr>
            <w:tcW w:w="374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监测结果（mg/m</w:t>
            </w:r>
            <w:r>
              <w:rPr>
                <w:rFonts w:hint="eastAsia" w:ascii="宋体" w:hAnsi="宋体" w:eastAsia="宋体" w:cs="宋体"/>
                <w:b/>
                <w:bCs/>
                <w:color w:val="auto"/>
                <w:sz w:val="24"/>
                <w:szCs w:val="24"/>
                <w:vertAlign w:val="superscript"/>
              </w:rPr>
              <w:t>3</w:t>
            </w:r>
            <w:r>
              <w:rPr>
                <w:rFonts w:hint="eastAsia" w:ascii="宋体" w:hAnsi="宋体" w:eastAsia="宋体" w:cs="宋体"/>
                <w:b/>
                <w:bCs/>
                <w:color w:val="auto"/>
                <w:sz w:val="24"/>
                <w:szCs w:val="24"/>
              </w:rPr>
              <w:t>）</w:t>
            </w:r>
          </w:p>
        </w:tc>
        <w:tc>
          <w:tcPr>
            <w:tcW w:w="400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执行标准及标准值</w:t>
            </w:r>
          </w:p>
        </w:tc>
        <w:tc>
          <w:tcPr>
            <w:tcW w:w="884"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textAlignment w:val="auto"/>
              <w:outlineLvl w:val="9"/>
              <w:rPr>
                <w:rFonts w:hint="eastAsia" w:ascii="宋体" w:hAnsi="宋体" w:eastAsia="宋体" w:cs="宋体"/>
                <w:color w:val="auto"/>
                <w:sz w:val="24"/>
                <w:szCs w:val="24"/>
              </w:rPr>
            </w:pPr>
          </w:p>
        </w:tc>
        <w:tc>
          <w:tcPr>
            <w:tcW w:w="1223"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textAlignment w:val="auto"/>
              <w:outlineLvl w:val="9"/>
              <w:rPr>
                <w:rFonts w:hint="eastAsia" w:ascii="宋体" w:hAnsi="宋体" w:eastAsia="宋体" w:cs="宋体"/>
                <w:color w:val="auto"/>
                <w:sz w:val="24"/>
                <w:szCs w:val="24"/>
              </w:rPr>
            </w:pPr>
          </w:p>
        </w:tc>
        <w:tc>
          <w:tcPr>
            <w:tcW w:w="1977"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p>
        </w:tc>
        <w:tc>
          <w:tcPr>
            <w:tcW w:w="135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3</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无组织排放</w:t>
            </w:r>
          </w:p>
        </w:tc>
        <w:tc>
          <w:tcPr>
            <w:tcW w:w="121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2021.6.4</w:t>
            </w:r>
          </w:p>
        </w:tc>
        <w:tc>
          <w:tcPr>
            <w:tcW w:w="12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甲苯</w:t>
            </w:r>
          </w:p>
        </w:tc>
        <w:tc>
          <w:tcPr>
            <w:tcW w:w="10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下风向</w:t>
            </w: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400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vertAlign w:val="baseline"/>
                <w:lang w:val="en-US" w:eastAsia="zh-CN"/>
              </w:rPr>
              <w:t>DB13/2322-2016表2“其他企业”限值要求：</w:t>
            </w:r>
            <w:r>
              <w:rPr>
                <w:rFonts w:hint="default" w:ascii="Times New Roman" w:hAnsi="Times New Roman" w:eastAsia="宋体" w:cs="Times New Roman"/>
                <w:color w:val="auto"/>
                <w:sz w:val="24"/>
                <w:szCs w:val="24"/>
                <w:lang w:val="en-US" w:eastAsia="zh-CN"/>
              </w:rPr>
              <w:t>0.6</w:t>
            </w:r>
            <w:r>
              <w:rPr>
                <w:rFonts w:hint="default" w:ascii="Times New Roman" w:hAnsi="Times New Roman" w:eastAsia="宋体" w:cs="Times New Roman"/>
                <w:color w:val="auto"/>
                <w:sz w:val="24"/>
                <w:szCs w:val="24"/>
                <w:vertAlign w:val="baseline"/>
                <w:lang w:val="en-US" w:eastAsia="zh-CN"/>
              </w:rPr>
              <w:t>mg/m</w:t>
            </w:r>
            <w:r>
              <w:rPr>
                <w:rFonts w:hint="default" w:ascii="Times New Roman" w:hAnsi="Times New Roman" w:eastAsia="宋体" w:cs="Times New Roman"/>
                <w:color w:val="auto"/>
                <w:sz w:val="24"/>
                <w:szCs w:val="24"/>
                <w:vertAlign w:val="superscript"/>
                <w:lang w:val="en-US" w:eastAsia="zh-CN"/>
              </w:rPr>
              <w:t>3</w:t>
            </w: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2021.6.5</w:t>
            </w: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2021.6.4</w:t>
            </w:r>
          </w:p>
        </w:tc>
        <w:tc>
          <w:tcPr>
            <w:tcW w:w="12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r>
              <w:rPr>
                <w:rFonts w:hint="eastAsia" w:ascii="宋体" w:hAnsi="宋体" w:eastAsia="宋体" w:cs="宋体"/>
                <w:color w:val="auto"/>
                <w:sz w:val="24"/>
                <w:szCs w:val="24"/>
                <w:lang w:val="en-US" w:eastAsia="zh-CN"/>
              </w:rPr>
              <w:t>二甲苯</w:t>
            </w:r>
          </w:p>
        </w:tc>
        <w:tc>
          <w:tcPr>
            <w:tcW w:w="10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下风向</w:t>
            </w: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vertAlign w:val="baseline"/>
                <w:lang w:val="en-US" w:eastAsia="zh-CN"/>
              </w:rPr>
              <w:t>DB13/2322-2016表2“其他企业”限值要求：0.2mg/m</w:t>
            </w:r>
            <w:r>
              <w:rPr>
                <w:rFonts w:hint="default" w:ascii="Times New Roman" w:hAnsi="Times New Roman" w:eastAsia="宋体" w:cs="Times New Roman"/>
                <w:color w:val="auto"/>
                <w:sz w:val="24"/>
                <w:szCs w:val="24"/>
                <w:vertAlign w:val="superscript"/>
                <w:lang w:val="en-US" w:eastAsia="zh-CN"/>
              </w:rPr>
              <w:t>3</w:t>
            </w: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2021.6.5</w:t>
            </w: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986"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tc>
        <w:tc>
          <w:tcPr>
            <w:tcW w:w="12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rPr>
            </w:pPr>
          </w:p>
        </w:tc>
        <w:tc>
          <w:tcPr>
            <w:tcW w:w="12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宋体" w:hAnsi="宋体" w:eastAsia="宋体" w:cs="宋体"/>
                <w:color w:val="auto"/>
                <w:spacing w:val="-12"/>
                <w:sz w:val="24"/>
                <w:szCs w:val="24"/>
              </w:rPr>
            </w:pPr>
          </w:p>
        </w:tc>
        <w:tc>
          <w:tcPr>
            <w:tcW w:w="10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p>
        </w:tc>
        <w:tc>
          <w:tcPr>
            <w:tcW w:w="96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vertAlign w:val="superscript"/>
              </w:rPr>
              <w:t>#</w:t>
            </w:r>
          </w:p>
        </w:tc>
        <w:tc>
          <w:tcPr>
            <w:tcW w:w="118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pacing w:val="-12"/>
                <w:sz w:val="24"/>
                <w:szCs w:val="24"/>
                <w:lang w:val="en-US" w:eastAsia="zh-CN" w:bidi="ar-SA"/>
              </w:rPr>
            </w:pPr>
            <w:r>
              <w:rPr>
                <w:rFonts w:hint="default" w:ascii="Times New Roman" w:hAnsi="Times New Roman" w:eastAsia="宋体" w:cs="Times New Roman"/>
                <w:color w:val="auto"/>
                <w:sz w:val="24"/>
                <w:szCs w:val="24"/>
                <w:lang w:val="en-US" w:eastAsia="zh-CN"/>
              </w:rPr>
              <w:t>ND</w:t>
            </w:r>
          </w:p>
        </w:tc>
        <w:tc>
          <w:tcPr>
            <w:tcW w:w="40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88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达标</w:t>
            </w:r>
          </w:p>
        </w:tc>
      </w:tr>
    </w:tbl>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bCs/>
          <w:color w:val="FF0000"/>
          <w:szCs w:val="21"/>
        </w:rPr>
      </w:pPr>
      <w:r>
        <w:rPr>
          <w:rFonts w:hint="eastAsia" w:ascii="宋体" w:hAnsi="宋体" w:eastAsia="宋体" w:cs="宋体"/>
          <w:bCs/>
          <w:color w:val="auto"/>
          <w:sz w:val="21"/>
          <w:szCs w:val="21"/>
        </w:rPr>
        <w:t>注：ND表示低于检出限。</w:t>
      </w:r>
    </w:p>
    <w:p>
      <w:pPr>
        <w:rPr>
          <w:rFonts w:hint="eastAsia" w:ascii="宋体" w:hAnsi="宋体" w:eastAsia="宋体" w:cs="宋体"/>
          <w:b/>
          <w:color w:val="auto"/>
          <w:sz w:val="30"/>
          <w:szCs w:val="30"/>
          <w:lang w:eastAsia="zh-CN"/>
        </w:rPr>
      </w:pPr>
      <w:r>
        <w:rPr>
          <w:rFonts w:hint="eastAsia" w:ascii="宋体" w:hAnsi="宋体" w:eastAsia="宋体" w:cs="宋体"/>
          <w:b/>
          <w:color w:val="auto"/>
          <w:sz w:val="30"/>
          <w:szCs w:val="30"/>
          <w:lang w:eastAsia="zh-CN"/>
        </w:rPr>
        <w:t>续表七、废气监测结果</w:t>
      </w:r>
    </w:p>
    <w:tbl>
      <w:tblPr>
        <w:tblStyle w:val="19"/>
        <w:tblW w:w="139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160"/>
        <w:gridCol w:w="1133"/>
        <w:gridCol w:w="1858"/>
        <w:gridCol w:w="1573"/>
        <w:gridCol w:w="1613"/>
        <w:gridCol w:w="1600"/>
        <w:gridCol w:w="2602"/>
        <w:gridCol w:w="8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设施</w:t>
            </w:r>
          </w:p>
        </w:tc>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监测日期</w:t>
            </w:r>
          </w:p>
        </w:tc>
        <w:tc>
          <w:tcPr>
            <w:tcW w:w="2991"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监测项目</w:t>
            </w:r>
          </w:p>
        </w:tc>
        <w:tc>
          <w:tcPr>
            <w:tcW w:w="478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监测结果</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执行标准及标准值</w:t>
            </w:r>
          </w:p>
        </w:tc>
        <w:tc>
          <w:tcPr>
            <w:tcW w:w="818"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达标</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p>
        </w:tc>
        <w:tc>
          <w:tcPr>
            <w:tcW w:w="299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DB13/2322－2016表1其他行业排放限值</w:t>
            </w:r>
          </w:p>
        </w:tc>
        <w:tc>
          <w:tcPr>
            <w:tcW w:w="81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危废暂存仓库废气治理设施进口</w:t>
            </w:r>
          </w:p>
        </w:tc>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2021.6.4</w:t>
            </w: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排气量</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/h</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4377</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4403</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4406</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1.92</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1.90</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2.00</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苯</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甲苯</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4.6×10</w:t>
            </w:r>
            <w:r>
              <w:rPr>
                <w:rFonts w:hint="default" w:ascii="Times New Roman" w:hAnsi="Times New Roman" w:eastAsia="宋体" w:cs="Times New Roman"/>
                <w:strike w:val="0"/>
                <w:dstrike w:val="0"/>
                <w:color w:val="auto"/>
                <w:sz w:val="24"/>
                <w:szCs w:val="24"/>
                <w:vertAlign w:val="superscript"/>
                <w:lang w:val="en-US" w:eastAsia="zh-CN"/>
              </w:rPr>
              <w:t>-3</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6.9×10</w:t>
            </w:r>
            <w:r>
              <w:rPr>
                <w:rFonts w:hint="default" w:ascii="Times New Roman" w:hAnsi="Times New Roman" w:eastAsia="宋体" w:cs="Times New Roman"/>
                <w:strike w:val="0"/>
                <w:dstrike w:val="0"/>
                <w:color w:val="auto"/>
                <w:sz w:val="24"/>
                <w:szCs w:val="24"/>
                <w:vertAlign w:val="superscript"/>
                <w:lang w:val="en-US" w:eastAsia="zh-CN"/>
              </w:rPr>
              <w:t>-3</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6.9×10</w:t>
            </w:r>
            <w:r>
              <w:rPr>
                <w:rFonts w:hint="default" w:ascii="Times New Roman" w:hAnsi="Times New Roman" w:eastAsia="宋体" w:cs="Times New Roman"/>
                <w:strike w:val="0"/>
                <w:dstrike w:val="0"/>
                <w:color w:val="auto"/>
                <w:sz w:val="24"/>
                <w:szCs w:val="24"/>
                <w:vertAlign w:val="superscript"/>
                <w:lang w:val="en-US" w:eastAsia="zh-CN"/>
              </w:rPr>
              <w:t>-3</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二甲苯</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危废暂存仓库废气治理设施出口排气筒上</w:t>
            </w: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排气量</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/h</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4627</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4752</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4680</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113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非甲烷总烃</w:t>
            </w:r>
          </w:p>
        </w:tc>
        <w:tc>
          <w:tcPr>
            <w:tcW w:w="185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浓度</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0.58</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0.58</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0.59</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80</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113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185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去除效率（</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68.1</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67.1</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68.7</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苯</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甲苯与二甲苯合计</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危废暂存仓库废气治理设施进口</w:t>
            </w:r>
          </w:p>
        </w:tc>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2021.6.5</w:t>
            </w: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排气量</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/h</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4451</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4405</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4325</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1.90</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1.89</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1.96</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苯</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甲苯</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6.0×10</w:t>
            </w:r>
            <w:r>
              <w:rPr>
                <w:rFonts w:hint="default" w:ascii="Times New Roman" w:hAnsi="Times New Roman" w:eastAsia="宋体" w:cs="Times New Roman"/>
                <w:strike w:val="0"/>
                <w:dstrike w:val="0"/>
                <w:color w:val="auto"/>
                <w:sz w:val="24"/>
                <w:szCs w:val="24"/>
                <w:vertAlign w:val="superscript"/>
                <w:lang w:val="en-US" w:eastAsia="zh-CN"/>
              </w:rPr>
              <w:t>-3</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7.7×10</w:t>
            </w:r>
            <w:r>
              <w:rPr>
                <w:rFonts w:hint="default" w:ascii="Times New Roman" w:hAnsi="Times New Roman" w:eastAsia="宋体" w:cs="Times New Roman"/>
                <w:strike w:val="0"/>
                <w:dstrike w:val="0"/>
                <w:color w:val="auto"/>
                <w:sz w:val="24"/>
                <w:szCs w:val="24"/>
                <w:vertAlign w:val="superscript"/>
                <w:lang w:val="en-US" w:eastAsia="zh-CN"/>
              </w:rPr>
              <w:t>-3</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7.1×10</w:t>
            </w:r>
            <w:r>
              <w:rPr>
                <w:rFonts w:hint="default" w:ascii="Times New Roman" w:hAnsi="Times New Roman" w:eastAsia="宋体" w:cs="Times New Roman"/>
                <w:strike w:val="0"/>
                <w:dstrike w:val="0"/>
                <w:color w:val="auto"/>
                <w:sz w:val="24"/>
                <w:szCs w:val="24"/>
                <w:vertAlign w:val="superscript"/>
                <w:lang w:val="en-US" w:eastAsia="zh-CN"/>
              </w:rPr>
              <w:t>-3</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二甲苯</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危废暂存仓库废气治理设施出口排气筒上</w:t>
            </w: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排气量</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/h</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4710</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4670</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4685</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4"/>
                <w:szCs w:val="24"/>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113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非甲烷总烃</w:t>
            </w:r>
          </w:p>
        </w:tc>
        <w:tc>
          <w:tcPr>
            <w:tcW w:w="185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浓度</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0.57</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0.58</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0.56</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80</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4"/>
                <w:szCs w:val="24"/>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113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p>
        </w:tc>
        <w:tc>
          <w:tcPr>
            <w:tcW w:w="185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去除效率（</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68.3</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67.5</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69.1</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4"/>
                <w:szCs w:val="24"/>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苯</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20"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4"/>
                <w:szCs w:val="24"/>
              </w:rPr>
            </w:pPr>
          </w:p>
        </w:tc>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rPr>
            </w:pPr>
          </w:p>
        </w:tc>
        <w:tc>
          <w:tcPr>
            <w:tcW w:w="299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甲苯与二甲苯合计</w:t>
            </w:r>
          </w:p>
        </w:tc>
        <w:tc>
          <w:tcPr>
            <w:tcW w:w="157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1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ND</w:t>
            </w:r>
          </w:p>
        </w:tc>
        <w:tc>
          <w:tcPr>
            <w:tcW w:w="260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达标</w:t>
            </w:r>
          </w:p>
        </w:tc>
      </w:tr>
    </w:tbl>
    <w:p>
      <w:pPr>
        <w:rPr>
          <w:rFonts w:hint="eastAsia" w:ascii="宋体" w:hAnsi="宋体" w:eastAsia="宋体" w:cs="宋体"/>
          <w:b/>
          <w:color w:val="FF0000"/>
          <w:sz w:val="30"/>
          <w:szCs w:val="30"/>
          <w:lang w:eastAsia="zh-CN"/>
        </w:rPr>
      </w:pPr>
      <w:r>
        <w:rPr>
          <w:rFonts w:hint="eastAsia" w:ascii="宋体" w:hAnsi="宋体" w:eastAsia="宋体" w:cs="宋体"/>
          <w:bCs/>
          <w:color w:val="auto"/>
          <w:sz w:val="21"/>
          <w:szCs w:val="21"/>
        </w:rPr>
        <w:t>注：ND表示低于检出限。</w:t>
      </w:r>
    </w:p>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
          <w:color w:val="auto"/>
          <w:sz w:val="30"/>
          <w:szCs w:val="30"/>
          <w:lang w:val="en-US" w:eastAsia="zh-CN"/>
        </w:rPr>
      </w:pPr>
      <w:r>
        <w:rPr>
          <w:rFonts w:hint="default" w:ascii="Times New Roman" w:hAnsi="Times New Roman" w:eastAsia="宋体" w:cs="Times New Roman"/>
          <w:b/>
          <w:color w:val="auto"/>
          <w:sz w:val="30"/>
          <w:szCs w:val="30"/>
          <w:lang w:eastAsia="zh-CN"/>
        </w:rPr>
        <w:t>续表七、废水监测结果</w:t>
      </w:r>
      <w:r>
        <w:rPr>
          <w:rFonts w:hint="eastAsia" w:ascii="Times New Roman" w:hAnsi="Times New Roman" w:eastAsia="宋体" w:cs="Times New Roman"/>
          <w:b/>
          <w:color w:val="auto"/>
          <w:sz w:val="30"/>
          <w:szCs w:val="30"/>
          <w:lang w:val="en-US" w:eastAsia="zh-CN"/>
        </w:rPr>
        <w:t>(此表空白)</w:t>
      </w:r>
    </w:p>
    <w:tbl>
      <w:tblPr>
        <w:tblStyle w:val="19"/>
        <w:tblW w:w="1413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43"/>
        <w:gridCol w:w="2550"/>
        <w:gridCol w:w="878"/>
        <w:gridCol w:w="954"/>
        <w:gridCol w:w="910"/>
        <w:gridCol w:w="1008"/>
        <w:gridCol w:w="1210"/>
        <w:gridCol w:w="1023"/>
        <w:gridCol w:w="2974"/>
        <w:gridCol w:w="6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741" w:type="dxa"/>
            <w:vMerge w:val="restar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w:t>
            </w:r>
          </w:p>
        </w:tc>
        <w:tc>
          <w:tcPr>
            <w:tcW w:w="124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监测日期</w:t>
            </w:r>
          </w:p>
        </w:tc>
        <w:tc>
          <w:tcPr>
            <w:tcW w:w="255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4960"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c>
          <w:tcPr>
            <w:tcW w:w="102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0"/>
                <w:sz w:val="21"/>
                <w:szCs w:val="21"/>
              </w:rPr>
              <w:t>处理效率</w:t>
            </w:r>
            <w:r>
              <w:rPr>
                <w:rFonts w:hint="default" w:ascii="Times New Roman" w:hAnsi="Times New Roman" w:eastAsia="宋体" w:cs="Times New Roman"/>
                <w:b/>
                <w:bCs/>
                <w:color w:val="auto"/>
                <w:sz w:val="21"/>
                <w:szCs w:val="21"/>
              </w:rPr>
              <w:t>%</w:t>
            </w:r>
          </w:p>
        </w:tc>
        <w:tc>
          <w:tcPr>
            <w:tcW w:w="297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执行标准及标准值</w:t>
            </w:r>
          </w:p>
        </w:tc>
        <w:tc>
          <w:tcPr>
            <w:tcW w:w="642" w:type="dxa"/>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41" w:type="dxa"/>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p>
        </w:tc>
        <w:tc>
          <w:tcPr>
            <w:tcW w:w="124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p>
        </w:tc>
        <w:tc>
          <w:tcPr>
            <w:tcW w:w="255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pacing w:val="-20"/>
                <w:sz w:val="21"/>
                <w:szCs w:val="21"/>
              </w:rPr>
            </w:pPr>
            <w:r>
              <w:rPr>
                <w:rFonts w:hint="default" w:ascii="Times New Roman" w:hAnsi="Times New Roman" w:eastAsia="宋体" w:cs="Times New Roman"/>
                <w:b/>
                <w:bCs/>
                <w:color w:val="auto"/>
                <w:spacing w:val="-20"/>
                <w:sz w:val="21"/>
                <w:szCs w:val="21"/>
              </w:rPr>
              <w:t>均值或范围</w:t>
            </w:r>
          </w:p>
        </w:tc>
        <w:tc>
          <w:tcPr>
            <w:tcW w:w="102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pacing w:val="-20"/>
                <w:sz w:val="21"/>
                <w:szCs w:val="21"/>
              </w:rPr>
            </w:pPr>
          </w:p>
        </w:tc>
        <w:tc>
          <w:tcPr>
            <w:tcW w:w="297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21"/>
                <w:szCs w:val="21"/>
              </w:rPr>
            </w:pPr>
          </w:p>
        </w:tc>
        <w:tc>
          <w:tcPr>
            <w:tcW w:w="6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pacing w:val="-32"/>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pStyle w:val="5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pacing w:val="-2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pacing w:val="-32"/>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eastAsia="zh-CN"/>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pStyle w:val="5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pStyle w:val="56"/>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741"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124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55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lang w:eastAsia="zh-CN"/>
              </w:rPr>
            </w:pPr>
          </w:p>
        </w:tc>
        <w:tc>
          <w:tcPr>
            <w:tcW w:w="87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5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9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00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FF0000"/>
                <w:sz w:val="21"/>
                <w:szCs w:val="21"/>
              </w:rPr>
            </w:pPr>
          </w:p>
        </w:tc>
        <w:tc>
          <w:tcPr>
            <w:tcW w:w="121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FF0000"/>
                <w:sz w:val="21"/>
                <w:szCs w:val="21"/>
                <w:lang w:val="en-US" w:eastAsia="zh-CN"/>
              </w:rPr>
            </w:pPr>
          </w:p>
        </w:tc>
        <w:tc>
          <w:tcPr>
            <w:tcW w:w="102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c>
          <w:tcPr>
            <w:tcW w:w="297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FF0000"/>
                <w:sz w:val="21"/>
                <w:szCs w:val="21"/>
                <w:lang w:val="en-US"/>
              </w:rPr>
            </w:pPr>
          </w:p>
        </w:tc>
        <w:tc>
          <w:tcPr>
            <w:tcW w:w="642"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FF0000"/>
                <w:sz w:val="21"/>
                <w:szCs w:val="21"/>
              </w:rPr>
            </w:pPr>
          </w:p>
        </w:tc>
      </w:tr>
    </w:tbl>
    <w:p>
      <w:pPr>
        <w:spacing w:line="460" w:lineRule="exact"/>
        <w:rPr>
          <w:rFonts w:hint="eastAsia" w:ascii="宋体" w:hAnsi="宋体" w:eastAsia="宋体" w:cs="宋体"/>
          <w:b w:val="0"/>
          <w:bCs w:val="0"/>
          <w:color w:val="FF0000"/>
          <w:sz w:val="24"/>
          <w:szCs w:val="24"/>
          <w:lang w:eastAsia="zh-CN"/>
        </w:rPr>
        <w:sectPr>
          <w:footerReference r:id="rId13" w:type="default"/>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b/>
          <w:color w:val="auto"/>
          <w:sz w:val="30"/>
          <w:szCs w:val="30"/>
        </w:rPr>
      </w:pPr>
      <w:r>
        <w:rPr>
          <w:rFonts w:hint="eastAsia" w:ascii="宋体" w:hAnsi="宋体" w:eastAsia="宋体" w:cs="宋体"/>
          <w:b/>
          <w:bCs/>
          <w:color w:val="auto"/>
          <w:sz w:val="30"/>
        </w:rPr>
        <w:t>续表七、噪声及工况监测结果</w:t>
      </w:r>
    </w:p>
    <w:tbl>
      <w:tblPr>
        <w:tblStyle w:val="19"/>
        <w:tblW w:w="9295"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7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1" w:hRule="atLeast"/>
        </w:trPr>
        <w:tc>
          <w:tcPr>
            <w:tcW w:w="141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color w:val="auto"/>
                <w:sz w:val="24"/>
              </w:rPr>
            </w:pPr>
            <w:r>
              <w:rPr>
                <w:rFonts w:hint="eastAsia" w:ascii="宋体" w:hAnsi="宋体" w:eastAsia="宋体" w:cs="宋体"/>
                <w:color w:val="auto"/>
                <w:sz w:val="24"/>
              </w:rPr>
              <w:t>噪声监测点位布设（示意图）及监测结果</w:t>
            </w:r>
          </w:p>
        </w:tc>
        <w:tc>
          <w:tcPr>
            <w:tcW w:w="7880" w:type="dxa"/>
            <w:noWrap w:val="0"/>
            <w:vAlign w:val="top"/>
          </w:tcPr>
          <w:p>
            <w:pPr>
              <w:keepNext w:val="0"/>
              <w:keepLines w:val="0"/>
              <w:pageBreakBefore w:val="0"/>
              <w:widowControl/>
              <w:tabs>
                <w:tab w:val="left" w:pos="1255"/>
              </w:tabs>
              <w:kinsoku/>
              <w:wordWrap/>
              <w:overflowPunct/>
              <w:topLinePunct w:val="0"/>
              <w:autoSpaceDE/>
              <w:autoSpaceDN/>
              <w:bidi w:val="0"/>
              <w:adjustRightInd w:val="0"/>
              <w:snapToGrid w:val="0"/>
              <w:spacing w:before="165" w:beforeLines="50" w:after="0" w:line="240" w:lineRule="auto"/>
              <w:textAlignment w:val="auto"/>
              <w:rPr>
                <w:rFonts w:hint="eastAsia" w:eastAsia="仿宋_GB2312"/>
                <w:color w:val="auto"/>
                <w:sz w:val="28"/>
                <w:szCs w:val="32"/>
                <w:lang w:eastAsia="zh-CN"/>
              </w:rPr>
            </w:pPr>
            <w:r>
              <w:rPr>
                <w:rFonts w:hint="eastAsia" w:eastAsia="仿宋_GB2312"/>
                <w:color w:val="auto"/>
                <w:sz w:val="28"/>
                <w:szCs w:val="32"/>
                <w:lang w:eastAsia="zh-CN"/>
              </w:rPr>
              <w:drawing>
                <wp:inline distT="0" distB="0" distL="114300" distR="114300">
                  <wp:extent cx="4671060" cy="2899410"/>
                  <wp:effectExtent l="0" t="0" r="7620" b="11430"/>
                  <wp:docPr id="183" name="图片 183" descr="微信截图_2021062110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微信截图_20210621102716"/>
                          <pic:cNvPicPr>
                            <a:picLocks noChangeAspect="1"/>
                          </pic:cNvPicPr>
                        </pic:nvPicPr>
                        <pic:blipFill>
                          <a:blip r:embed="rId42"/>
                          <a:srcRect l="6193" r="6864" b="4625"/>
                          <a:stretch>
                            <a:fillRect/>
                          </a:stretch>
                        </pic:blipFill>
                        <pic:spPr>
                          <a:xfrm>
                            <a:off x="0" y="0"/>
                            <a:ext cx="4671060" cy="28994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注：检测期间，20</w:t>
            </w:r>
            <w:r>
              <w:rPr>
                <w:rFonts w:hint="eastAsia" w:ascii="仿宋" w:hAnsi="仿宋" w:eastAsia="仿宋" w:cs="仿宋"/>
                <w:color w:val="auto"/>
                <w:sz w:val="21"/>
                <w:szCs w:val="21"/>
                <w:lang w:val="en-US" w:eastAsia="zh-CN"/>
              </w:rPr>
              <w:t>21.6.4</w:t>
            </w:r>
            <w:r>
              <w:rPr>
                <w:rFonts w:hint="eastAsia" w:ascii="仿宋" w:hAnsi="仿宋" w:eastAsia="仿宋" w:cs="仿宋"/>
                <w:color w:val="auto"/>
                <w:sz w:val="21"/>
                <w:szCs w:val="21"/>
              </w:rPr>
              <w:t>，风向：</w:t>
            </w:r>
            <w:r>
              <w:rPr>
                <w:rFonts w:hint="eastAsia" w:ascii="仿宋" w:hAnsi="仿宋" w:eastAsia="仿宋" w:cs="仿宋"/>
                <w:color w:val="auto"/>
                <w:sz w:val="21"/>
                <w:szCs w:val="21"/>
                <w:lang w:val="en-US" w:eastAsia="zh-CN"/>
              </w:rPr>
              <w:t>东风</w:t>
            </w:r>
            <w:r>
              <w:rPr>
                <w:rFonts w:hint="eastAsia" w:ascii="仿宋" w:hAnsi="仿宋" w:eastAsia="仿宋" w:cs="仿宋"/>
                <w:color w:val="auto"/>
                <w:sz w:val="21"/>
                <w:szCs w:val="21"/>
              </w:rPr>
              <w:t>，天气</w:t>
            </w:r>
            <w:r>
              <w:rPr>
                <w:rFonts w:hint="eastAsia" w:ascii="仿宋" w:hAnsi="仿宋" w:eastAsia="仿宋" w:cs="仿宋"/>
                <w:color w:val="auto"/>
                <w:sz w:val="21"/>
                <w:szCs w:val="21"/>
                <w:lang w:val="en-US" w:eastAsia="zh-CN"/>
              </w:rPr>
              <w:t>晴</w:t>
            </w:r>
            <w:r>
              <w:rPr>
                <w:rFonts w:hint="eastAsia" w:ascii="仿宋" w:hAnsi="仿宋" w:eastAsia="仿宋" w:cs="仿宋"/>
                <w:color w:val="auto"/>
                <w:sz w:val="21"/>
                <w:szCs w:val="21"/>
                <w:lang w:eastAsia="zh-CN"/>
              </w:rPr>
              <w:t>，昼间</w:t>
            </w:r>
            <w:r>
              <w:rPr>
                <w:rFonts w:hint="eastAsia" w:ascii="仿宋" w:hAnsi="仿宋" w:eastAsia="仿宋" w:cs="仿宋"/>
                <w:color w:val="auto"/>
                <w:sz w:val="21"/>
                <w:szCs w:val="21"/>
              </w:rPr>
              <w:t>风速</w:t>
            </w:r>
            <w:r>
              <w:rPr>
                <w:rFonts w:hint="eastAsia" w:ascii="仿宋" w:hAnsi="仿宋" w:eastAsia="仿宋" w:cs="仿宋"/>
                <w:color w:val="auto"/>
                <w:sz w:val="21"/>
                <w:szCs w:val="21"/>
                <w:lang w:val="en-US" w:eastAsia="zh-CN"/>
              </w:rPr>
              <w:t>1.9</w:t>
            </w:r>
            <w:r>
              <w:rPr>
                <w:rFonts w:hint="eastAsia" w:ascii="仿宋" w:hAnsi="仿宋" w:eastAsia="仿宋" w:cs="仿宋"/>
                <w:color w:val="auto"/>
                <w:sz w:val="21"/>
                <w:szCs w:val="21"/>
              </w:rPr>
              <w:t>m/s</w:t>
            </w:r>
            <w:r>
              <w:rPr>
                <w:rFonts w:hint="eastAsia" w:ascii="仿宋" w:hAnsi="仿宋" w:eastAsia="仿宋" w:cs="仿宋"/>
                <w:color w:val="auto"/>
                <w:sz w:val="21"/>
                <w:szCs w:val="21"/>
                <w:lang w:eastAsia="zh-CN"/>
              </w:rPr>
              <w:t>，夜间</w:t>
            </w:r>
            <w:r>
              <w:rPr>
                <w:rFonts w:hint="eastAsia" w:ascii="仿宋" w:hAnsi="仿宋" w:eastAsia="仿宋" w:cs="仿宋"/>
                <w:color w:val="auto"/>
                <w:sz w:val="21"/>
                <w:szCs w:val="21"/>
              </w:rPr>
              <w:t>风速</w:t>
            </w:r>
            <w:r>
              <w:rPr>
                <w:rFonts w:hint="eastAsia" w:ascii="仿宋" w:hAnsi="仿宋" w:eastAsia="仿宋" w:cs="仿宋"/>
                <w:color w:val="auto"/>
                <w:sz w:val="21"/>
                <w:szCs w:val="21"/>
                <w:lang w:val="en-US" w:eastAsia="zh-CN"/>
              </w:rPr>
              <w:t>2.1</w:t>
            </w:r>
            <w:r>
              <w:rPr>
                <w:rFonts w:hint="eastAsia" w:ascii="仿宋" w:hAnsi="仿宋" w:eastAsia="仿宋" w:cs="仿宋"/>
                <w:color w:val="auto"/>
                <w:sz w:val="21"/>
                <w:szCs w:val="21"/>
              </w:rPr>
              <w:t>m/s</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检测期间，20</w:t>
            </w:r>
            <w:r>
              <w:rPr>
                <w:rFonts w:hint="eastAsia" w:ascii="仿宋" w:hAnsi="仿宋" w:eastAsia="仿宋" w:cs="仿宋"/>
                <w:color w:val="auto"/>
                <w:sz w:val="21"/>
                <w:szCs w:val="21"/>
                <w:lang w:val="en-US" w:eastAsia="zh-CN"/>
              </w:rPr>
              <w:t>21.6.5</w:t>
            </w:r>
            <w:r>
              <w:rPr>
                <w:rFonts w:hint="eastAsia" w:ascii="仿宋" w:hAnsi="仿宋" w:eastAsia="仿宋" w:cs="仿宋"/>
                <w:color w:val="auto"/>
                <w:sz w:val="21"/>
                <w:szCs w:val="21"/>
              </w:rPr>
              <w:t>，风向：</w:t>
            </w:r>
            <w:r>
              <w:rPr>
                <w:rFonts w:hint="eastAsia" w:ascii="仿宋" w:hAnsi="仿宋" w:eastAsia="仿宋" w:cs="仿宋"/>
                <w:color w:val="auto"/>
                <w:sz w:val="21"/>
                <w:szCs w:val="21"/>
                <w:lang w:val="en-US" w:eastAsia="zh-CN"/>
              </w:rPr>
              <w:t>东风</w:t>
            </w:r>
            <w:r>
              <w:rPr>
                <w:rFonts w:hint="eastAsia" w:ascii="仿宋" w:hAnsi="仿宋" w:eastAsia="仿宋" w:cs="仿宋"/>
                <w:color w:val="auto"/>
                <w:sz w:val="21"/>
                <w:szCs w:val="21"/>
              </w:rPr>
              <w:t>，天气</w:t>
            </w:r>
            <w:r>
              <w:rPr>
                <w:rFonts w:hint="eastAsia" w:ascii="仿宋" w:hAnsi="仿宋" w:eastAsia="仿宋" w:cs="仿宋"/>
                <w:color w:val="auto"/>
                <w:sz w:val="21"/>
                <w:szCs w:val="21"/>
                <w:lang w:val="en-US" w:eastAsia="zh-CN"/>
              </w:rPr>
              <w:t>晴</w:t>
            </w:r>
            <w:r>
              <w:rPr>
                <w:rFonts w:hint="eastAsia" w:ascii="仿宋" w:hAnsi="仿宋" w:eastAsia="仿宋" w:cs="仿宋"/>
                <w:color w:val="auto"/>
                <w:sz w:val="21"/>
                <w:szCs w:val="21"/>
                <w:lang w:eastAsia="zh-CN"/>
              </w:rPr>
              <w:t>，昼间</w:t>
            </w:r>
            <w:r>
              <w:rPr>
                <w:rFonts w:hint="eastAsia" w:ascii="仿宋" w:hAnsi="仿宋" w:eastAsia="仿宋" w:cs="仿宋"/>
                <w:color w:val="auto"/>
                <w:sz w:val="21"/>
                <w:szCs w:val="21"/>
              </w:rPr>
              <w:t>风速</w:t>
            </w:r>
            <w:r>
              <w:rPr>
                <w:rFonts w:hint="eastAsia" w:ascii="仿宋" w:hAnsi="仿宋" w:eastAsia="仿宋" w:cs="仿宋"/>
                <w:color w:val="auto"/>
                <w:sz w:val="21"/>
                <w:szCs w:val="21"/>
                <w:lang w:val="en-US" w:eastAsia="zh-CN"/>
              </w:rPr>
              <w:t>1.7</w:t>
            </w:r>
            <w:r>
              <w:rPr>
                <w:rFonts w:hint="eastAsia" w:ascii="仿宋" w:hAnsi="仿宋" w:eastAsia="仿宋" w:cs="仿宋"/>
                <w:color w:val="auto"/>
                <w:sz w:val="21"/>
                <w:szCs w:val="21"/>
              </w:rPr>
              <w:t>m/s</w:t>
            </w:r>
            <w:r>
              <w:rPr>
                <w:rFonts w:hint="eastAsia" w:ascii="仿宋" w:hAnsi="仿宋" w:eastAsia="仿宋" w:cs="仿宋"/>
                <w:color w:val="auto"/>
                <w:sz w:val="21"/>
                <w:szCs w:val="21"/>
                <w:lang w:eastAsia="zh-CN"/>
              </w:rPr>
              <w:t>，夜间</w:t>
            </w:r>
            <w:r>
              <w:rPr>
                <w:rFonts w:hint="eastAsia" w:ascii="仿宋" w:hAnsi="仿宋" w:eastAsia="仿宋" w:cs="仿宋"/>
                <w:color w:val="auto"/>
                <w:sz w:val="21"/>
                <w:szCs w:val="21"/>
              </w:rPr>
              <w:t>风速</w:t>
            </w:r>
            <w:r>
              <w:rPr>
                <w:rFonts w:hint="eastAsia" w:ascii="仿宋" w:hAnsi="仿宋" w:eastAsia="仿宋" w:cs="仿宋"/>
                <w:color w:val="auto"/>
                <w:sz w:val="21"/>
                <w:szCs w:val="21"/>
                <w:lang w:val="en-US" w:eastAsia="zh-CN"/>
              </w:rPr>
              <w:t>2.1</w:t>
            </w:r>
            <w:r>
              <w:rPr>
                <w:rFonts w:hint="eastAsia" w:ascii="仿宋" w:hAnsi="仿宋" w:eastAsia="仿宋" w:cs="仿宋"/>
                <w:color w:val="auto"/>
                <w:sz w:val="21"/>
                <w:szCs w:val="21"/>
              </w:rPr>
              <w:t>m/s</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○为无组织排放废气检测点位，</w:t>
            </w:r>
            <w:r>
              <w:rPr>
                <w:rFonts w:hint="eastAsia" w:ascii="仿宋" w:hAnsi="仿宋" w:eastAsia="仿宋" w:cs="仿宋"/>
                <w:color w:val="auto"/>
                <w:sz w:val="21"/>
                <w:szCs w:val="21"/>
                <w:lang w:val="en-US" w:eastAsia="zh-CN"/>
              </w:rPr>
              <w:t>◎为排气筒位置，</w:t>
            </w:r>
            <w:r>
              <w:rPr>
                <w:rFonts w:hint="eastAsia" w:ascii="仿宋" w:hAnsi="仿宋" w:eastAsia="仿宋" w:cs="仿宋"/>
                <w:color w:val="auto"/>
                <w:sz w:val="21"/>
                <w:szCs w:val="21"/>
              </w:rPr>
              <w:t>▲为噪声检测点位。</w:t>
            </w:r>
          </w:p>
          <w:p>
            <w:pPr>
              <w:keepNext w:val="0"/>
              <w:keepLines w:val="0"/>
              <w:pageBreakBefore w:val="0"/>
              <w:widowControl/>
              <w:kinsoku/>
              <w:wordWrap/>
              <w:overflowPunct/>
              <w:topLinePunct w:val="0"/>
              <w:autoSpaceDE/>
              <w:autoSpaceDN/>
              <w:bidi w:val="0"/>
              <w:adjustRightInd w:val="0"/>
              <w:snapToGrid w:val="0"/>
              <w:spacing w:before="165" w:beforeLines="50" w:after="0" w:line="360" w:lineRule="auto"/>
              <w:jc w:val="center"/>
              <w:textAlignment w:val="auto"/>
              <w:rPr>
                <w:rFonts w:hint="eastAsia" w:ascii="宋体" w:hAnsi="宋体" w:eastAsia="宋体" w:cs="宋体"/>
                <w:b/>
                <w:bCs/>
                <w:iCs/>
                <w:color w:val="auto"/>
                <w:sz w:val="24"/>
                <w:u w:val="single"/>
              </w:rPr>
            </w:pPr>
            <w:r>
              <w:rPr>
                <w:rFonts w:hint="eastAsia" w:ascii="宋体" w:hAnsi="宋体" w:eastAsia="宋体" w:cs="宋体"/>
                <w:b/>
                <w:bCs/>
                <w:iCs/>
                <w:color w:val="auto"/>
                <w:sz w:val="24"/>
                <w:u w:val="single"/>
              </w:rPr>
              <w:t>厂界噪声及无组织排放监测点位示意图</w:t>
            </w:r>
          </w:p>
          <w:p>
            <w:pPr>
              <w:keepNext w:val="0"/>
              <w:keepLines w:val="0"/>
              <w:pageBreakBefore w:val="0"/>
              <w:widowControl/>
              <w:kinsoku/>
              <w:wordWrap/>
              <w:overflowPunct/>
              <w:topLinePunct w:val="0"/>
              <w:autoSpaceDE/>
              <w:autoSpaceDN/>
              <w:bidi w:val="0"/>
              <w:adjustRightInd w:val="0"/>
              <w:snapToGrid w:val="0"/>
              <w:spacing w:after="0"/>
              <w:ind w:left="0" w:hanging="5076" w:hangingChars="2115"/>
              <w:textAlignment w:val="auto"/>
              <w:rPr>
                <w:rFonts w:hint="eastAsia" w:ascii="宋体" w:hAnsi="宋体" w:eastAsia="宋体" w:cs="宋体"/>
                <w:color w:val="auto"/>
                <w:sz w:val="24"/>
              </w:rPr>
            </w:pPr>
            <w:r>
              <w:rPr>
                <w:rFonts w:hint="eastAsia" w:ascii="宋体" w:hAnsi="宋体" w:eastAsia="宋体" w:cs="宋体"/>
                <w:color w:val="auto"/>
                <w:sz w:val="24"/>
              </w:rPr>
              <w:t>项目噪声：                                       单位：dB(A)</w:t>
            </w:r>
          </w:p>
          <w:tbl>
            <w:tblPr>
              <w:tblStyle w:val="19"/>
              <w:tblW w:w="4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9"/>
              <w:gridCol w:w="1368"/>
              <w:gridCol w:w="745"/>
              <w:gridCol w:w="749"/>
              <w:gridCol w:w="737"/>
              <w:gridCol w:w="898"/>
              <w:gridCol w:w="669"/>
              <w:gridCol w:w="898"/>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3" w:hRule="atLeast"/>
                <w:jc w:val="center"/>
              </w:trPr>
              <w:tc>
                <w:tcPr>
                  <w:tcW w:w="1560" w:type="pct"/>
                  <w:gridSpan w:val="2"/>
                  <w:vMerge w:val="restart"/>
                  <w:tcBorders>
                    <w:left w:val="nil"/>
                    <w:tl2br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978" w:firstLineChars="466"/>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48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r>
                    <w:rPr>
                      <w:rFonts w:hint="default" w:ascii="Times New Roman" w:hAnsi="Times New Roman" w:eastAsia="宋体" w:cs="Times New Roman"/>
                      <w:color w:val="auto"/>
                      <w:sz w:val="21"/>
                      <w:szCs w:val="21"/>
                      <w:vertAlign w:val="subscript"/>
                    </w:rPr>
                    <w:t>1</w:t>
                  </w:r>
                </w:p>
              </w:tc>
              <w:tc>
                <w:tcPr>
                  <w:tcW w:w="49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r>
                    <w:rPr>
                      <w:rFonts w:hint="default" w:ascii="Times New Roman" w:hAnsi="Times New Roman" w:eastAsia="宋体" w:cs="Times New Roman"/>
                      <w:color w:val="auto"/>
                      <w:sz w:val="21"/>
                      <w:szCs w:val="21"/>
                      <w:vertAlign w:val="subscript"/>
                    </w:rPr>
                    <w:t>2</w:t>
                  </w:r>
                </w:p>
              </w:tc>
              <w:tc>
                <w:tcPr>
                  <w:tcW w:w="48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▲Z</w:t>
                  </w:r>
                  <w:r>
                    <w:rPr>
                      <w:rFonts w:hint="default" w:ascii="Times New Roman" w:hAnsi="Times New Roman" w:eastAsia="宋体" w:cs="Times New Roman"/>
                      <w:color w:val="auto"/>
                      <w:sz w:val="21"/>
                      <w:szCs w:val="21"/>
                      <w:vertAlign w:val="subscript"/>
                      <w:lang w:val="en-US" w:eastAsia="zh-CN"/>
                    </w:rPr>
                    <w:t>4</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GB12348-2008   </w:t>
                  </w:r>
                </w:p>
              </w:tc>
              <w:tc>
                <w:tcPr>
                  <w:tcW w:w="43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▲Z</w:t>
                  </w:r>
                  <w:r>
                    <w:rPr>
                      <w:rFonts w:hint="default" w:ascii="Times New Roman" w:hAnsi="Times New Roman" w:eastAsia="宋体" w:cs="Times New Roman"/>
                      <w:color w:val="auto"/>
                      <w:sz w:val="21"/>
                      <w:szCs w:val="21"/>
                      <w:vertAlign w:val="subscript"/>
                      <w:lang w:val="en-US" w:eastAsia="zh-CN"/>
                    </w:rPr>
                    <w:t>3</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GB12348-2008   </w:t>
                  </w:r>
                </w:p>
              </w:tc>
              <w:tc>
                <w:tcPr>
                  <w:tcW w:w="357" w:type="pct"/>
                  <w:vMerge w:val="restar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3" w:hRule="atLeast"/>
                <w:jc w:val="center"/>
              </w:trPr>
              <w:tc>
                <w:tcPr>
                  <w:tcW w:w="1560" w:type="pct"/>
                  <w:gridSpan w:val="2"/>
                  <w:vMerge w:val="continue"/>
                  <w:tcBorders>
                    <w:left w:val="nil"/>
                    <w:tl2br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978" w:firstLineChars="466"/>
                    <w:textAlignment w:val="auto"/>
                    <w:rPr>
                      <w:rFonts w:hint="default" w:ascii="Times New Roman" w:hAnsi="Times New Roman" w:eastAsia="宋体" w:cs="Times New Roman"/>
                      <w:color w:val="auto"/>
                      <w:sz w:val="21"/>
                      <w:szCs w:val="21"/>
                    </w:rPr>
                  </w:pPr>
                </w:p>
              </w:tc>
              <w:tc>
                <w:tcPr>
                  <w:tcW w:w="48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49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48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43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4a</w:t>
                  </w:r>
                  <w:r>
                    <w:rPr>
                      <w:rFonts w:hint="default" w:ascii="Times New Roman" w:hAnsi="Times New Roman" w:eastAsia="宋体" w:cs="Times New Roman"/>
                      <w:color w:val="auto"/>
                      <w:sz w:val="21"/>
                      <w:szCs w:val="21"/>
                    </w:rPr>
                    <w:t>类</w:t>
                  </w:r>
                </w:p>
              </w:tc>
              <w:tc>
                <w:tcPr>
                  <w:tcW w:w="357" w:type="pct"/>
                  <w:vMerge w:val="continue"/>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7" w:hRule="atLeast"/>
                <w:jc w:val="center"/>
              </w:trPr>
              <w:tc>
                <w:tcPr>
                  <w:tcW w:w="662" w:type="pct"/>
                  <w:vMerge w:val="restar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2021.6.4</w:t>
                  </w:r>
                </w:p>
              </w:tc>
              <w:tc>
                <w:tcPr>
                  <w:tcW w:w="898"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r>
                    <w:rPr>
                      <w:rFonts w:hint="default" w:ascii="Times New Roman" w:hAnsi="Times New Roman" w:eastAsia="宋体" w:cs="Times New Roman"/>
                      <w:color w:val="auto"/>
                      <w:sz w:val="21"/>
                      <w:szCs w:val="21"/>
                      <w:lang w:val="en-US" w:eastAsia="zh-CN"/>
                    </w:rPr>
                    <w:t>17:14-18:22</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58.2</w:t>
                  </w:r>
                </w:p>
              </w:tc>
              <w:tc>
                <w:tcPr>
                  <w:tcW w:w="4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56.4</w:t>
                  </w:r>
                </w:p>
              </w:tc>
              <w:tc>
                <w:tcPr>
                  <w:tcW w:w="4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53.7</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3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67.4</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70</w:t>
                  </w:r>
                </w:p>
              </w:tc>
              <w:tc>
                <w:tcPr>
                  <w:tcW w:w="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7" w:hRule="atLeast"/>
                <w:jc w:val="center"/>
              </w:trPr>
              <w:tc>
                <w:tcPr>
                  <w:tcW w:w="662" w:type="pct"/>
                  <w:vMerge w:val="continue"/>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898"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夜</w:t>
                  </w:r>
                  <w:r>
                    <w:rPr>
                      <w:rFonts w:hint="default" w:ascii="Times New Roman" w:hAnsi="Times New Roman" w:eastAsia="宋体" w:cs="Times New Roman"/>
                      <w:color w:val="auto"/>
                      <w:sz w:val="21"/>
                      <w:szCs w:val="21"/>
                    </w:rPr>
                    <w:t>间</w:t>
                  </w:r>
                  <w:r>
                    <w:rPr>
                      <w:rFonts w:hint="default" w:ascii="Times New Roman" w:hAnsi="Times New Roman" w:eastAsia="宋体" w:cs="Times New Roman"/>
                      <w:color w:val="auto"/>
                      <w:sz w:val="21"/>
                      <w:szCs w:val="21"/>
                      <w:lang w:val="en-US" w:eastAsia="zh-CN"/>
                    </w:rPr>
                    <w:t>22:32-23:49</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47.2</w:t>
                  </w:r>
                </w:p>
              </w:tc>
              <w:tc>
                <w:tcPr>
                  <w:tcW w:w="4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46.4</w:t>
                  </w:r>
                </w:p>
              </w:tc>
              <w:tc>
                <w:tcPr>
                  <w:tcW w:w="4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45.3</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3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51.1</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662" w:type="pct"/>
                  <w:vMerge w:val="restar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2021.6.5</w:t>
                  </w:r>
                </w:p>
              </w:tc>
              <w:tc>
                <w:tcPr>
                  <w:tcW w:w="898"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r>
                    <w:rPr>
                      <w:rFonts w:hint="default" w:ascii="Times New Roman" w:hAnsi="Times New Roman" w:eastAsia="宋体" w:cs="Times New Roman"/>
                      <w:color w:val="auto"/>
                      <w:sz w:val="21"/>
                      <w:szCs w:val="21"/>
                      <w:lang w:val="en-US" w:eastAsia="zh-CN"/>
                    </w:rPr>
                    <w:t>7:20-8:29</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57.6</w:t>
                  </w:r>
                </w:p>
              </w:tc>
              <w:tc>
                <w:tcPr>
                  <w:tcW w:w="4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55.6</w:t>
                  </w:r>
                </w:p>
              </w:tc>
              <w:tc>
                <w:tcPr>
                  <w:tcW w:w="4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52.8</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3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66.7</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70</w:t>
                  </w:r>
                </w:p>
              </w:tc>
              <w:tc>
                <w:tcPr>
                  <w:tcW w:w="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662" w:type="pct"/>
                  <w:vMerge w:val="continue"/>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p>
              </w:tc>
              <w:tc>
                <w:tcPr>
                  <w:tcW w:w="898" w:type="pct"/>
                  <w:tcBorders>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夜</w:t>
                  </w:r>
                  <w:r>
                    <w:rPr>
                      <w:rFonts w:hint="default" w:ascii="Times New Roman" w:hAnsi="Times New Roman" w:eastAsia="宋体" w:cs="Times New Roman"/>
                      <w:color w:val="auto"/>
                      <w:sz w:val="21"/>
                      <w:szCs w:val="21"/>
                    </w:rPr>
                    <w:t>间</w:t>
                  </w:r>
                  <w:r>
                    <w:rPr>
                      <w:rFonts w:hint="default" w:ascii="Times New Roman" w:hAnsi="Times New Roman" w:eastAsia="宋体" w:cs="Times New Roman"/>
                      <w:color w:val="auto"/>
                      <w:sz w:val="21"/>
                      <w:szCs w:val="21"/>
                      <w:lang w:val="en-US" w:eastAsia="zh-CN"/>
                    </w:rPr>
                    <w:t>22:40-23:58</w:t>
                  </w:r>
                </w:p>
              </w:tc>
              <w:tc>
                <w:tcPr>
                  <w:tcW w:w="48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47.1</w:t>
                  </w:r>
                </w:p>
              </w:tc>
              <w:tc>
                <w:tcPr>
                  <w:tcW w:w="49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46.1</w:t>
                  </w:r>
                </w:p>
              </w:tc>
              <w:tc>
                <w:tcPr>
                  <w:tcW w:w="484"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45.3</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39"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51.6</w:t>
                  </w:r>
                </w:p>
              </w:tc>
              <w:tc>
                <w:tcPr>
                  <w:tcW w:w="58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55</w:t>
                  </w:r>
                </w:p>
              </w:tc>
              <w:tc>
                <w:tcPr>
                  <w:tcW w:w="357" w:type="pct"/>
                  <w:tcBorders>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4" w:hRule="atLeast"/>
        </w:trPr>
        <w:tc>
          <w:tcPr>
            <w:tcW w:w="1415"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4"/>
              </w:rPr>
            </w:pPr>
            <w:r>
              <w:rPr>
                <w:rFonts w:hint="eastAsia" w:ascii="宋体" w:hAnsi="宋体" w:eastAsia="宋体" w:cs="宋体"/>
                <w:color w:val="auto"/>
                <w:sz w:val="24"/>
              </w:rPr>
              <w:t>验收监测期间工况记录</w:t>
            </w:r>
          </w:p>
        </w:tc>
        <w:tc>
          <w:tcPr>
            <w:tcW w:w="788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480" w:firstLineChars="200"/>
              <w:jc w:val="left"/>
              <w:textAlignment w:val="auto"/>
              <w:outlineLvl w:val="9"/>
              <w:rPr>
                <w:rFonts w:hint="eastAsia" w:ascii="宋体" w:hAnsi="宋体" w:eastAsia="宋体" w:cs="宋体"/>
                <w:color w:val="auto"/>
                <w:sz w:val="24"/>
              </w:rPr>
            </w:pPr>
            <w:r>
              <w:rPr>
                <w:rFonts w:hint="eastAsia" w:ascii="宋体" w:hAnsi="宋体" w:eastAsia="宋体" w:cs="宋体"/>
                <w:color w:val="auto"/>
                <w:sz w:val="24"/>
                <w:szCs w:val="24"/>
                <w:lang w:eastAsia="zh-CN"/>
              </w:rPr>
              <w:t>河北新环检测集团有限公司</w:t>
            </w:r>
            <w:r>
              <w:rPr>
                <w:rFonts w:hint="eastAsia" w:ascii="宋体" w:hAnsi="宋体" w:eastAsia="宋体" w:cs="宋体"/>
                <w:color w:val="auto"/>
                <w:sz w:val="24"/>
                <w:szCs w:val="24"/>
              </w:rPr>
              <w:t>于20</w:t>
            </w: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日至</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日进行了竣工验收检测并出具检测报告。监测期间，</w:t>
            </w:r>
            <w:r>
              <w:rPr>
                <w:rFonts w:hint="eastAsia" w:ascii="宋体" w:hAnsi="宋体" w:eastAsia="宋体" w:cs="宋体"/>
                <w:color w:val="auto"/>
                <w:sz w:val="24"/>
                <w:szCs w:val="24"/>
                <w:lang w:val="en-US" w:eastAsia="zh-CN"/>
              </w:rPr>
              <w:t>2021年6月4日，企业收储危险废物为：废机油桶（900-041-49）0.1224t、废机滤（900-041-49）0.3731t；2021年6月5日，企业收储危险废物为：废滤芯（900-041-49）0.345t、废油桶（900-249-08）0.0495t、废油漆桶（900-041-49）0.065t</w:t>
            </w:r>
            <w:r>
              <w:rPr>
                <w:rFonts w:hint="eastAsia" w:ascii="宋体" w:hAnsi="宋体" w:eastAsia="宋体" w:cs="宋体"/>
                <w:color w:val="auto"/>
                <w:sz w:val="24"/>
                <w:szCs w:val="24"/>
              </w:rPr>
              <w:t>。</w:t>
            </w:r>
          </w:p>
        </w:tc>
      </w:tr>
    </w:tbl>
    <w:p>
      <w:pPr>
        <w:spacing w:line="460" w:lineRule="exact"/>
        <w:rPr>
          <w:rFonts w:hint="eastAsia" w:ascii="宋体" w:hAnsi="宋体" w:eastAsia="宋体" w:cs="宋体"/>
          <w:b/>
          <w:bCs/>
          <w:color w:val="FF0000"/>
          <w:sz w:val="30"/>
        </w:rPr>
        <w:sectPr>
          <w:pgSz w:w="11907" w:h="16839"/>
          <w:pgMar w:top="1701" w:right="1701" w:bottom="1701" w:left="1701" w:header="709" w:footer="709" w:gutter="0"/>
          <w:pgBorders>
            <w:top w:val="none" w:sz="0" w:space="0"/>
            <w:left w:val="none" w:sz="0" w:space="0"/>
            <w:bottom w:val="none" w:sz="0" w:space="0"/>
            <w:right w:val="none" w:sz="0" w:space="0"/>
          </w:pgBorders>
          <w:pgNumType w:fmt="decimal"/>
          <w:cols w:space="720" w:num="1"/>
          <w:docGrid w:type="lines" w:linePitch="328" w:charSpace="0"/>
        </w:sectPr>
      </w:pPr>
    </w:p>
    <w:p>
      <w:pPr>
        <w:spacing w:after="0" w:line="360" w:lineRule="auto"/>
        <w:rPr>
          <w:rFonts w:ascii="Times New Roman" w:hAnsi="Times New Roman" w:cs="Times New Roman" w:eastAsiaTheme="minorEastAsia"/>
          <w:b/>
          <w:color w:val="auto"/>
          <w:sz w:val="28"/>
          <w:szCs w:val="28"/>
        </w:rPr>
      </w:pPr>
      <w:r>
        <w:rPr>
          <w:rFonts w:ascii="Times New Roman" w:cs="Times New Roman" w:hAnsiTheme="minorEastAsia" w:eastAsiaTheme="minorEastAsia"/>
          <w:b/>
          <w:color w:val="auto"/>
          <w:sz w:val="28"/>
          <w:szCs w:val="28"/>
        </w:rPr>
        <w:t>表八</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1" w:hRule="atLeast"/>
          <w:jc w:val="center"/>
        </w:trPr>
        <w:tc>
          <w:tcPr>
            <w:tcW w:w="8924" w:type="dxa"/>
          </w:tcPr>
          <w:p>
            <w:pPr>
              <w:keepNext w:val="0"/>
              <w:keepLines w:val="0"/>
              <w:pageBreakBefore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验收监测结论：</w:t>
            </w:r>
          </w:p>
          <w:p>
            <w:pPr>
              <w:keepNext w:val="0"/>
              <w:keepLines w:val="0"/>
              <w:pageBreakBefore w:val="0"/>
              <w:widowControl/>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受</w:t>
            </w:r>
            <w:r>
              <w:rPr>
                <w:rFonts w:hint="default" w:ascii="Times New Roman" w:hAnsi="Times New Roman" w:eastAsia="宋体" w:cs="Times New Roman"/>
                <w:color w:val="auto"/>
                <w:sz w:val="24"/>
                <w:szCs w:val="24"/>
              </w:rPr>
              <w:t>保定绿源环保服务有限公司</w:t>
            </w:r>
            <w:r>
              <w:rPr>
                <w:rFonts w:hint="default" w:ascii="Times New Roman" w:hAnsi="Times New Roman" w:eastAsia="宋体" w:cs="Times New Roman"/>
                <w:color w:val="auto"/>
                <w:sz w:val="24"/>
                <w:szCs w:val="24"/>
                <w:lang w:eastAsia="zh-CN"/>
              </w:rPr>
              <w:t>的委托，河北新环检测集团有限公司于202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日-</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日</w:t>
            </w:r>
            <w:r>
              <w:rPr>
                <w:rFonts w:hint="default" w:ascii="Times New Roman" w:hAnsi="Times New Roman" w:eastAsia="宋体" w:cs="Times New Roman"/>
                <w:color w:val="auto"/>
                <w:sz w:val="24"/>
                <w:szCs w:val="24"/>
                <w:lang w:val="en-US" w:eastAsia="zh-CN"/>
              </w:rPr>
              <w:t>对“扩建机动车维修拆解行业危险废物收集存储项目”进行了验收监测，通过</w:t>
            </w:r>
            <w:r>
              <w:rPr>
                <w:rFonts w:hint="default" w:ascii="Times New Roman" w:hAnsi="Times New Roman" w:eastAsia="宋体" w:cs="Times New Roman"/>
                <w:color w:val="auto"/>
                <w:sz w:val="24"/>
                <w:szCs w:val="24"/>
              </w:rPr>
              <w:t>现场调查及采样监测得出如下结论：</w:t>
            </w:r>
          </w:p>
          <w:p>
            <w:pPr>
              <w:keepNext w:val="0"/>
              <w:keepLines w:val="0"/>
              <w:pageBreakBefore w:val="0"/>
              <w:widowControl/>
              <w:tabs>
                <w:tab w:val="left" w:pos="6135"/>
              </w:tabs>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1、环境保护管理制度执行情况</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项目在建设过程中执行了环境影响评价制度。</w:t>
            </w:r>
            <w:r>
              <w:rPr>
                <w:rFonts w:hint="default" w:ascii="Times New Roman" w:hAnsi="Times New Roman" w:eastAsia="宋体" w:cs="Times New Roman"/>
                <w:color w:val="auto"/>
                <w:sz w:val="24"/>
                <w:szCs w:val="24"/>
                <w:lang w:val="en-US" w:eastAsia="zh-CN"/>
              </w:rPr>
              <w:t>扩建</w:t>
            </w:r>
            <w:r>
              <w:rPr>
                <w:rFonts w:hint="default" w:ascii="Times New Roman" w:hAnsi="Times New Roman" w:eastAsia="宋体" w:cs="Times New Roman"/>
                <w:color w:val="auto"/>
                <w:sz w:val="24"/>
                <w:szCs w:val="24"/>
              </w:rPr>
              <w:t>目前项目已建设完成，</w:t>
            </w:r>
            <w:r>
              <w:rPr>
                <w:rFonts w:hint="default" w:ascii="Times New Roman" w:hAnsi="Times New Roman" w:eastAsia="宋体" w:cs="Times New Roman"/>
                <w:color w:val="auto"/>
                <w:sz w:val="24"/>
                <w:szCs w:val="24"/>
                <w:lang w:val="en-US" w:eastAsia="zh-CN"/>
              </w:rPr>
              <w:t>全厂</w:t>
            </w:r>
            <w:r>
              <w:rPr>
                <w:rFonts w:hint="default" w:ascii="Times New Roman" w:hAnsi="Times New Roman" w:eastAsia="宋体" w:cs="Times New Roman"/>
                <w:color w:val="auto"/>
                <w:sz w:val="24"/>
                <w:szCs w:val="24"/>
              </w:rPr>
              <w:t>实际生产能力为</w:t>
            </w:r>
            <w:r>
              <w:rPr>
                <w:rFonts w:hint="default" w:ascii="Times New Roman" w:hAnsi="Times New Roman" w:eastAsia="宋体" w:cs="Times New Roman"/>
                <w:color w:val="auto"/>
                <w:sz w:val="24"/>
                <w:szCs w:val="24"/>
                <w:lang w:val="en-US" w:eastAsia="zh-CN"/>
              </w:rPr>
              <w:t>收集、储存及转运机动车维修拆解过程产生的各类危险废物</w:t>
            </w:r>
            <w:r>
              <w:rPr>
                <w:rFonts w:hint="eastAsia" w:cs="Times New Roman"/>
                <w:color w:val="auto"/>
                <w:sz w:val="24"/>
                <w:szCs w:val="24"/>
                <w:lang w:val="en-US" w:eastAsia="zh-CN"/>
              </w:rPr>
              <w:t>30500</w:t>
            </w:r>
            <w:r>
              <w:rPr>
                <w:rFonts w:hint="default" w:ascii="Times New Roman" w:hAnsi="Times New Roman" w:eastAsia="宋体" w:cs="Times New Roman"/>
                <w:color w:val="auto"/>
                <w:sz w:val="24"/>
                <w:szCs w:val="24"/>
                <w:lang w:val="en-US" w:eastAsia="zh-CN"/>
              </w:rPr>
              <w:t>吨</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年，最大储存量为</w:t>
            </w:r>
            <w:r>
              <w:rPr>
                <w:rFonts w:hint="eastAsia" w:cs="Times New Roman"/>
                <w:color w:val="auto"/>
                <w:sz w:val="24"/>
                <w:szCs w:val="24"/>
                <w:lang w:val="en-US" w:eastAsia="zh-CN"/>
              </w:rPr>
              <w:t>96</w:t>
            </w:r>
            <w:r>
              <w:rPr>
                <w:rFonts w:hint="default" w:ascii="Times New Roman" w:hAnsi="Times New Roman" w:eastAsia="宋体" w:cs="Times New Roman"/>
                <w:color w:val="auto"/>
                <w:sz w:val="24"/>
                <w:szCs w:val="24"/>
                <w:lang w:val="en-US" w:eastAsia="zh-CN"/>
              </w:rPr>
              <w:t>吨，最长暂存时间为4天</w:t>
            </w:r>
            <w:r>
              <w:rPr>
                <w:rFonts w:hint="default" w:ascii="Times New Roman" w:hAnsi="Times New Roman" w:eastAsia="宋体" w:cs="Times New Roman"/>
                <w:color w:val="auto"/>
                <w:sz w:val="24"/>
                <w:szCs w:val="24"/>
              </w:rPr>
              <w:t>。项目建设情况、环保措施</w:t>
            </w:r>
            <w:r>
              <w:rPr>
                <w:rFonts w:hint="default" w:ascii="Times New Roman" w:hAnsi="Times New Roman" w:eastAsia="宋体" w:cs="Times New Roman"/>
                <w:color w:val="auto"/>
                <w:sz w:val="24"/>
                <w:szCs w:val="24"/>
                <w:lang w:val="en-US" w:eastAsia="zh-CN"/>
              </w:rPr>
              <w:t>落实情况见审批意见落实情况表、“三同时”验收执行情况一览表。</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储罐呼吸废气及HW12 类、HW49 类危废暂存于密闭仓库，产生的有机废气经一套“等离子净化器+两级活性炭吸附装置”处理后，外排废气中非甲烷总烃浓度最大值为0.59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苯、甲苯、二甲苯</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lang w:val="en-US" w:eastAsia="zh-CN"/>
              </w:rPr>
              <w:t>未检出，</w:t>
            </w:r>
            <w:r>
              <w:rPr>
                <w:rFonts w:hint="default" w:ascii="Times New Roman" w:hAnsi="Times New Roman" w:eastAsia="宋体" w:cs="Times New Roman"/>
                <w:color w:val="auto"/>
                <w:sz w:val="24"/>
                <w:szCs w:val="24"/>
                <w:lang w:eastAsia="zh-CN"/>
              </w:rPr>
              <w:t>达到《工业企业挥发性有机物排放控制标准》（</w:t>
            </w:r>
            <w:r>
              <w:rPr>
                <w:rFonts w:hint="default" w:ascii="Times New Roman" w:hAnsi="Times New Roman" w:eastAsia="宋体" w:cs="Times New Roman"/>
                <w:color w:val="auto"/>
                <w:sz w:val="24"/>
                <w:szCs w:val="24"/>
                <w:lang w:val="en-US" w:eastAsia="zh-CN"/>
              </w:rPr>
              <w:t>DB13/2322-2016</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1其他行业排放限值</w:t>
            </w:r>
            <w:r>
              <w:rPr>
                <w:rFonts w:hint="default" w:ascii="Times New Roman" w:hAnsi="Times New Roman" w:eastAsia="宋体" w:cs="Times New Roman"/>
                <w:color w:val="auto"/>
                <w:sz w:val="24"/>
                <w:szCs w:val="24"/>
                <w:lang w:eastAsia="zh-CN"/>
              </w:rPr>
              <w:t>。</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厂界无组织</w:t>
            </w:r>
            <w:r>
              <w:rPr>
                <w:rFonts w:hint="default" w:ascii="Times New Roman" w:hAnsi="Times New Roman" w:eastAsia="宋体" w:cs="Times New Roman"/>
                <w:color w:val="auto"/>
                <w:sz w:val="24"/>
                <w:szCs w:val="24"/>
                <w:lang w:val="en-US" w:eastAsia="zh-CN"/>
              </w:rPr>
              <w:t>下风向</w:t>
            </w:r>
            <w:r>
              <w:rPr>
                <w:rFonts w:hint="default" w:ascii="Times New Roman" w:hAnsi="Times New Roman" w:eastAsia="宋体" w:cs="Times New Roman"/>
                <w:color w:val="auto"/>
                <w:sz w:val="24"/>
                <w:szCs w:val="24"/>
                <w:lang w:eastAsia="zh-CN"/>
              </w:rPr>
              <w:t>非甲烷总烃最大浓度为</w:t>
            </w:r>
            <w:r>
              <w:rPr>
                <w:rFonts w:hint="default" w:ascii="Times New Roman" w:hAnsi="Times New Roman" w:eastAsia="宋体" w:cs="Times New Roman"/>
                <w:color w:val="auto"/>
                <w:sz w:val="24"/>
                <w:szCs w:val="24"/>
                <w:lang w:val="en-US" w:eastAsia="zh-CN"/>
              </w:rPr>
              <w:t>0.49</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，苯、甲苯、二甲苯均未检出，检测结果达到《工业企业挥发性有机物排放控制标准》（DB13/2322-2016）表</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“其他企业”</w:t>
            </w:r>
            <w:r>
              <w:rPr>
                <w:rFonts w:hint="default" w:ascii="Times New Roman" w:hAnsi="Times New Roman" w:eastAsia="宋体" w:cs="Times New Roman"/>
                <w:color w:val="auto"/>
                <w:sz w:val="24"/>
                <w:szCs w:val="24"/>
                <w:lang w:val="en-US" w:eastAsia="zh-CN"/>
              </w:rPr>
              <w:t>边界大气污染物浓度限值要求；车间口监测点位非甲烷总烃1h平均浓度值</w:t>
            </w:r>
            <w:r>
              <w:rPr>
                <w:rFonts w:hint="default" w:ascii="Times New Roman" w:hAnsi="Times New Roman" w:eastAsia="宋体" w:cs="Times New Roman"/>
                <w:color w:val="auto"/>
                <w:sz w:val="24"/>
                <w:szCs w:val="24"/>
                <w:lang w:eastAsia="zh-CN"/>
              </w:rPr>
              <w:t>最大</w:t>
            </w:r>
            <w:r>
              <w:rPr>
                <w:rFonts w:hint="default" w:ascii="Times New Roman" w:hAnsi="Times New Roman" w:eastAsia="宋体" w:cs="Times New Roman"/>
                <w:color w:val="auto"/>
                <w:sz w:val="24"/>
                <w:szCs w:val="24"/>
                <w:lang w:val="en-US" w:eastAsia="zh-CN"/>
              </w:rPr>
              <w:t>为0.6</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，任意一次浓度值最大</w:t>
            </w:r>
            <w:r>
              <w:rPr>
                <w:rFonts w:hint="default" w:ascii="Times New Roman" w:hAnsi="Times New Roman" w:eastAsia="宋体" w:cs="Times New Roman"/>
                <w:color w:val="auto"/>
                <w:sz w:val="24"/>
                <w:szCs w:val="24"/>
                <w:lang w:val="en-US" w:eastAsia="zh-CN"/>
              </w:rPr>
              <w:t>为0.60</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达到《挥发性有机物无组织排放控制标准》（GB37822-2019）中的无组织特别排放限值。</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3、废水</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本项目无生产废水产生，未新增劳动定员，无</w:t>
            </w:r>
            <w:r>
              <w:rPr>
                <w:rFonts w:hint="eastAsia" w:ascii="Times New Roman" w:hAnsi="Times New Roman" w:cs="Times New Roman"/>
                <w:color w:val="auto"/>
                <w:kern w:val="2"/>
                <w:sz w:val="24"/>
                <w:szCs w:val="24"/>
                <w:lang w:val="en-US" w:eastAsia="zh-CN" w:bidi="ar-SA"/>
              </w:rPr>
              <w:t>生活</w:t>
            </w:r>
            <w:r>
              <w:rPr>
                <w:rFonts w:hint="default" w:ascii="Times New Roman" w:hAnsi="Times New Roman" w:eastAsia="宋体" w:cs="Times New Roman"/>
                <w:color w:val="auto"/>
                <w:kern w:val="2"/>
                <w:sz w:val="24"/>
                <w:szCs w:val="24"/>
                <w:lang w:val="en-US" w:eastAsia="zh-CN" w:bidi="ar-SA"/>
              </w:rPr>
              <w:t>废水产生。</w:t>
            </w:r>
          </w:p>
          <w:p>
            <w:pPr>
              <w:pStyle w:val="7"/>
              <w:keepNext w:val="0"/>
              <w:keepLines w:val="0"/>
              <w:pageBreakBefore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4、噪声</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outlineLvl w:val="9"/>
              <w:rPr>
                <w:color w:val="auto"/>
              </w:rPr>
            </w:pPr>
            <w:r>
              <w:rPr>
                <w:rFonts w:hint="default" w:ascii="Times New Roman" w:hAnsi="Times New Roman" w:eastAsia="宋体" w:cs="Times New Roman"/>
                <w:color w:val="auto"/>
                <w:sz w:val="24"/>
                <w:szCs w:val="24"/>
              </w:rPr>
              <w:t>监测期间，</w:t>
            </w:r>
            <w:r>
              <w:rPr>
                <w:rFonts w:hint="default" w:ascii="Times New Roman" w:hAnsi="Times New Roman" w:eastAsia="宋体" w:cs="Times New Roman"/>
                <w:color w:val="auto"/>
                <w:sz w:val="24"/>
                <w:szCs w:val="24"/>
                <w:lang w:eastAsia="zh-CN"/>
              </w:rPr>
              <w:t>西</w:t>
            </w:r>
            <w:r>
              <w:rPr>
                <w:rFonts w:hint="default" w:ascii="Times New Roman" w:hAnsi="Times New Roman" w:eastAsia="宋体" w:cs="Times New Roman"/>
                <w:color w:val="auto"/>
                <w:sz w:val="24"/>
                <w:szCs w:val="24"/>
              </w:rPr>
              <w:t>厂界噪声昼间监测值</w:t>
            </w:r>
            <w:r>
              <w:rPr>
                <w:rFonts w:hint="default" w:ascii="Times New Roman" w:hAnsi="Times New Roman" w:eastAsia="宋体" w:cs="Times New Roman"/>
                <w:color w:val="auto"/>
                <w:sz w:val="24"/>
                <w:szCs w:val="24"/>
                <w:lang w:val="en-US" w:eastAsia="zh-CN"/>
              </w:rPr>
              <w:t>范围为66.7-67.4dB(A)、夜间</w:t>
            </w:r>
            <w:r>
              <w:rPr>
                <w:rFonts w:hint="default" w:ascii="Times New Roman" w:hAnsi="Times New Roman" w:eastAsia="宋体" w:cs="Times New Roman"/>
                <w:color w:val="auto"/>
                <w:sz w:val="24"/>
                <w:szCs w:val="24"/>
              </w:rPr>
              <w:t>监测值</w:t>
            </w:r>
            <w:r>
              <w:rPr>
                <w:rFonts w:hint="default" w:ascii="Times New Roman" w:hAnsi="Times New Roman" w:eastAsia="宋体" w:cs="Times New Roman"/>
                <w:color w:val="auto"/>
                <w:sz w:val="24"/>
                <w:szCs w:val="24"/>
                <w:lang w:val="en-US" w:eastAsia="zh-CN"/>
              </w:rPr>
              <w:t>范围为51.1-51.6dB(A)，</w:t>
            </w:r>
            <w:r>
              <w:rPr>
                <w:rFonts w:hint="default" w:ascii="Times New Roman" w:hAnsi="Times New Roman" w:eastAsia="宋体" w:cs="Times New Roman"/>
                <w:color w:val="auto"/>
                <w:sz w:val="24"/>
                <w:szCs w:val="24"/>
              </w:rPr>
              <w:t>达到《工业企业厂界环境噪声排放标准》（GB12348-2008）</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类标准要求</w:t>
            </w:r>
            <w:r>
              <w:rPr>
                <w:rFonts w:hint="default" w:ascii="Times New Roman" w:hAnsi="Times New Roman" w:eastAsia="宋体" w:cs="Times New Roman"/>
                <w:color w:val="auto"/>
                <w:sz w:val="24"/>
                <w:szCs w:val="24"/>
                <w:lang w:eastAsia="zh-CN"/>
              </w:rPr>
              <w:t>，其他</w:t>
            </w:r>
            <w:r>
              <w:rPr>
                <w:rFonts w:hint="default" w:ascii="Times New Roman" w:hAnsi="Times New Roman" w:eastAsia="宋体" w:cs="Times New Roman"/>
                <w:color w:val="auto"/>
                <w:sz w:val="24"/>
                <w:szCs w:val="24"/>
              </w:rPr>
              <w:t>厂界噪声昼间监测值</w:t>
            </w:r>
            <w:r>
              <w:rPr>
                <w:rFonts w:hint="default" w:ascii="Times New Roman" w:hAnsi="Times New Roman" w:eastAsia="宋体" w:cs="Times New Roman"/>
                <w:color w:val="auto"/>
                <w:sz w:val="24"/>
                <w:szCs w:val="24"/>
                <w:lang w:val="en-US" w:eastAsia="zh-CN"/>
              </w:rPr>
              <w:t>范围为52.8-58.2dB(A)、夜间</w:t>
            </w:r>
            <w:r>
              <w:rPr>
                <w:rFonts w:hint="default" w:ascii="Times New Roman" w:hAnsi="Times New Roman" w:eastAsia="宋体" w:cs="Times New Roman"/>
                <w:color w:val="auto"/>
                <w:sz w:val="24"/>
                <w:szCs w:val="24"/>
              </w:rPr>
              <w:t>监测值</w:t>
            </w:r>
            <w:r>
              <w:rPr>
                <w:rFonts w:hint="default" w:ascii="Times New Roman" w:hAnsi="Times New Roman" w:eastAsia="宋体" w:cs="Times New Roman"/>
                <w:color w:val="auto"/>
                <w:sz w:val="24"/>
                <w:szCs w:val="24"/>
                <w:lang w:val="en-US" w:eastAsia="zh-CN"/>
              </w:rPr>
              <w:t>范围为45.3-47.2dB(A)，</w:t>
            </w:r>
            <w:r>
              <w:rPr>
                <w:rFonts w:hint="default" w:ascii="Times New Roman" w:hAnsi="Times New Roman" w:eastAsia="宋体" w:cs="Times New Roman"/>
                <w:color w:val="auto"/>
                <w:sz w:val="24"/>
                <w:szCs w:val="24"/>
              </w:rPr>
              <w:t>达到《工业企业厂界环境噪声排放标准》（GB12348-2008）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类标准要求</w:t>
            </w:r>
            <w:r>
              <w:rPr>
                <w:rFonts w:hint="default" w:ascii="Times New Roman" w:hAnsi="Times New Roman" w:eastAsia="宋体" w:cs="Times New Roman"/>
                <w:color w:val="auto"/>
                <w:sz w:val="24"/>
                <w:szCs w:val="24"/>
                <w:lang w:eastAsia="zh-CN"/>
              </w:rPr>
              <w:t>。</w:t>
            </w:r>
          </w:p>
        </w:tc>
      </w:tr>
    </w:tbl>
    <w:p>
      <w:pPr>
        <w:pStyle w:val="2"/>
        <w:keepNext w:val="0"/>
        <w:keepLines w:val="0"/>
        <w:widowControl w:val="0"/>
        <w:adjustRightInd/>
        <w:snapToGrid/>
        <w:spacing w:before="0" w:after="0" w:line="0" w:lineRule="atLeast"/>
        <w:rPr>
          <w:rFonts w:ascii="Times New Roman" w:hAnsi="Times New Roman" w:eastAsiaTheme="minorEastAsia"/>
          <w:color w:val="FF0000"/>
        </w:rPr>
        <w:sectPr>
          <w:pgSz w:w="11907" w:h="16839"/>
          <w:pgMar w:top="1701" w:right="1701" w:bottom="1701" w:left="1701" w:header="709" w:footer="709" w:gutter="0"/>
          <w:pgBorders>
            <w:top w:val="none" w:sz="0" w:space="0"/>
            <w:left w:val="none" w:sz="0" w:space="0"/>
            <w:bottom w:val="none" w:sz="0" w:space="0"/>
            <w:right w:val="none" w:sz="0" w:space="0"/>
          </w:pgBorders>
          <w:pgNumType w:fmt="decimal"/>
          <w:cols w:space="720" w:num="1"/>
          <w:docGrid w:type="lines" w:linePitch="328" w:charSpace="0"/>
        </w:sectPr>
      </w:pPr>
    </w:p>
    <w:p>
      <w:pPr>
        <w:spacing w:after="0" w:line="360" w:lineRule="auto"/>
        <w:rPr>
          <w:rFonts w:ascii="Times New Roman" w:hAnsi="Times New Roman" w:cs="Times New Roman" w:eastAsiaTheme="minorEastAsia"/>
          <w:b/>
          <w:color w:val="auto"/>
          <w:sz w:val="28"/>
          <w:szCs w:val="28"/>
        </w:rPr>
      </w:pPr>
      <w:r>
        <w:rPr>
          <w:rFonts w:hint="eastAsia" w:ascii="Times New Roman" w:cs="Times New Roman" w:hAnsiTheme="minorEastAsia" w:eastAsiaTheme="minorEastAsia"/>
          <w:b/>
          <w:color w:val="auto"/>
          <w:sz w:val="28"/>
          <w:szCs w:val="28"/>
          <w:lang w:eastAsia="zh-CN"/>
        </w:rPr>
        <w:t>续</w:t>
      </w:r>
      <w:r>
        <w:rPr>
          <w:rFonts w:ascii="Times New Roman" w:cs="Times New Roman" w:hAnsiTheme="minorEastAsia" w:eastAsiaTheme="minorEastAsia"/>
          <w:b/>
          <w:color w:val="auto"/>
          <w:sz w:val="28"/>
          <w:szCs w:val="28"/>
        </w:rPr>
        <w:t>表八</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9" w:hRule="atLeast"/>
          <w:jc w:val="center"/>
        </w:trPr>
        <w:tc>
          <w:tcPr>
            <w:tcW w:w="8924" w:type="dxa"/>
          </w:tcPr>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5、固体废物</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项目产生的固体废物主要为储罐清理产生的油泥、生产过程产生的废抹布、废劳保用品、废塑料箱、有机废气治理产生的废活性炭，收集后暂存于危废暂存间，定期交有资质单位进行处置。</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6、总量控制指标</w:t>
            </w:r>
          </w:p>
          <w:p>
            <w:pPr>
              <w:pStyle w:val="7"/>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项目未建设燃煤燃气设备，</w:t>
            </w:r>
            <w:r>
              <w:rPr>
                <w:rFonts w:hint="eastAsia" w:ascii="Times New Roman" w:hAnsi="Times New Roman" w:eastAsia="宋体" w:cs="Times New Roman"/>
                <w:color w:val="auto"/>
                <w:sz w:val="24"/>
                <w:szCs w:val="24"/>
                <w:lang w:val="en-US" w:eastAsia="zh-CN"/>
              </w:rPr>
              <w:t>无废水外排，项目年运行时间为8760h</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根据检测结果，计算得</w:t>
            </w:r>
            <w:r>
              <w:rPr>
                <w:rFonts w:hint="default" w:ascii="Times New Roman" w:hAnsi="Times New Roman" w:eastAsia="宋体" w:cs="Times New Roman"/>
                <w:color w:val="auto"/>
                <w:sz w:val="24"/>
                <w:szCs w:val="24"/>
                <w:lang w:val="en-US" w:eastAsia="zh-CN"/>
              </w:rPr>
              <w:t>项目废气排放量为</w:t>
            </w:r>
            <w:r>
              <w:rPr>
                <w:rFonts w:hint="eastAsia" w:ascii="Times New Roman" w:hAnsi="Times New Roman" w:eastAsia="宋体" w:cs="Times New Roman"/>
                <w:color w:val="auto"/>
                <w:sz w:val="24"/>
                <w:szCs w:val="24"/>
                <w:lang w:val="en-US" w:eastAsia="zh-CN"/>
              </w:rPr>
              <w:t>4106.10</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a，非甲烷总烃排放总量为</w:t>
            </w:r>
            <w:r>
              <w:rPr>
                <w:rFonts w:hint="eastAsia" w:ascii="Times New Roman" w:hAnsi="Times New Roman" w:eastAsia="宋体" w:cs="Times New Roman"/>
                <w:color w:val="auto"/>
                <w:sz w:val="24"/>
                <w:szCs w:val="24"/>
                <w:lang w:val="en-US" w:eastAsia="zh-CN"/>
              </w:rPr>
              <w:t>0.024</w:t>
            </w:r>
            <w:r>
              <w:rPr>
                <w:rFonts w:hint="default" w:ascii="Times New Roman" w:hAnsi="Times New Roman" w:eastAsia="宋体" w:cs="Times New Roman"/>
                <w:color w:val="auto"/>
                <w:sz w:val="24"/>
                <w:szCs w:val="24"/>
                <w:lang w:val="en-US" w:eastAsia="zh-CN"/>
              </w:rPr>
              <w:t>t/a，满足</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总量控制要求</w:t>
            </w:r>
            <w:r>
              <w:rPr>
                <w:rFonts w:hint="eastAsia" w:ascii="Times New Roman" w:hAnsi="Times New Roman" w:eastAsia="宋体" w:cs="Times New Roman"/>
                <w:color w:val="auto"/>
                <w:sz w:val="24"/>
                <w:szCs w:val="24"/>
                <w:lang w:val="en-US" w:eastAsia="zh-CN"/>
              </w:rPr>
              <w:t>即</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：0t/a，NO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：0t/a，颗粒物：0t/a，VOC</w:t>
            </w:r>
            <w:r>
              <w:rPr>
                <w:rFonts w:hint="default" w:ascii="Times New Roman" w:hAnsi="Times New Roman" w:eastAsia="宋体" w:cs="Times New Roman"/>
                <w:color w:val="auto"/>
                <w:sz w:val="24"/>
                <w:szCs w:val="24"/>
                <w:vertAlign w:val="subscript"/>
                <w:lang w:val="en-US" w:eastAsia="zh-CN"/>
              </w:rPr>
              <w:t>S</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0.486</w:t>
            </w:r>
            <w:r>
              <w:rPr>
                <w:rFonts w:hint="default" w:ascii="Times New Roman" w:hAnsi="Times New Roman" w:eastAsia="宋体" w:cs="Times New Roman"/>
                <w:color w:val="auto"/>
                <w:sz w:val="24"/>
                <w:szCs w:val="24"/>
                <w:lang w:val="en-US" w:eastAsia="zh-CN"/>
              </w:rPr>
              <w:t>t/a，COD：0t/a，NH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-N：0t/a，TP：0t/a，TN：0t/a。</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、环境管理及排污口设置</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建设运行过程中执行了环境影响评价制度，建立了企业环境保护领导小组，配备了相应熟悉环境管理的专业人员，负责监督环保法规、条例的执行情况，制定、完善、监督实施企业环境保护管理制度，对工作人员进行环境保护知识的宣传、引导、监督，企业加强对环保设施的维护和保养。</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企业定期对废气、噪声等进行检测，确保污染物连续稳定达标排放。</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项目在建设及试运行期间未发生扰民和公众投诉意见。</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、总体结论</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执行了国家环境管理制度，落实了环评文件提出的环保措施。验收监测结果表明，项目正常营运期间废气、噪声等经采取合理有效的治理措施后，均可做到连续稳定达标排放，固体废弃物能够合理处置，满足环评和环评审批中的要求。</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、建议</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（1）加强环境管理和职工环保教育，增强职工的环保意识。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（2）加强日常环境管理以确保污染物连续稳定达标排放。</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（3）企业应督促来料按要求进行封闭包装。</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pPr>
            <w:r>
              <w:rPr>
                <w:rFonts w:hint="eastAsia" w:ascii="Times New Roman" w:hAnsi="Times New Roman" w:eastAsia="宋体" w:cs="Times New Roman"/>
                <w:color w:val="auto"/>
                <w:sz w:val="24"/>
                <w:szCs w:val="24"/>
                <w:lang w:val="en-US" w:eastAsia="zh-CN"/>
              </w:rPr>
              <w:t>（4）规范设置废气采样孔及采样平台。</w:t>
            </w:r>
          </w:p>
        </w:tc>
      </w:tr>
    </w:tbl>
    <w:p>
      <w:pPr>
        <w:rPr>
          <w:color w:val="FF0000"/>
        </w:rPr>
        <w:sectPr>
          <w:pgSz w:w="11907" w:h="16839"/>
          <w:pgMar w:top="1701" w:right="1701" w:bottom="1701" w:left="1701" w:header="709" w:footer="709" w:gutter="0"/>
          <w:pgBorders>
            <w:top w:val="none" w:sz="0" w:space="0"/>
            <w:left w:val="none" w:sz="0" w:space="0"/>
            <w:bottom w:val="none" w:sz="0" w:space="0"/>
            <w:right w:val="none" w:sz="0" w:space="0"/>
          </w:pgBorders>
          <w:pgNumType w:fmt="decimal"/>
          <w:cols w:space="720" w:num="1"/>
          <w:docGrid w:type="lines" w:linePitch="328" w:charSpace="0"/>
        </w:sectPr>
      </w:pPr>
    </w:p>
    <w:p>
      <w:pPr>
        <w:keepNext w:val="0"/>
        <w:keepLines w:val="0"/>
        <w:pageBreakBefore w:val="0"/>
        <w:widowControl/>
        <w:kinsoku/>
        <w:wordWrap/>
        <w:overflowPunct/>
        <w:topLinePunct w:val="0"/>
        <w:autoSpaceDE/>
        <w:autoSpaceDN/>
        <w:bidi w:val="0"/>
        <w:adjustRightInd w:val="0"/>
        <w:snapToGrid w:val="0"/>
        <w:spacing w:before="164" w:beforeLines="50" w:after="164" w:afterLines="5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before="164" w:beforeLines="5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填表单位（盖章）：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填表人（签字）：</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项目经办人（签字）：</w:t>
      </w:r>
    </w:p>
    <w:tbl>
      <w:tblPr>
        <w:tblStyle w:val="20"/>
        <w:tblW w:w="16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41"/>
        <w:gridCol w:w="991"/>
        <w:gridCol w:w="849"/>
        <w:gridCol w:w="708"/>
        <w:gridCol w:w="142"/>
        <w:gridCol w:w="1132"/>
        <w:gridCol w:w="153"/>
        <w:gridCol w:w="696"/>
        <w:gridCol w:w="283"/>
        <w:gridCol w:w="991"/>
        <w:gridCol w:w="568"/>
        <w:gridCol w:w="486"/>
        <w:gridCol w:w="1064"/>
        <w:gridCol w:w="291"/>
        <w:gridCol w:w="856"/>
        <w:gridCol w:w="1699"/>
        <w:gridCol w:w="1077"/>
        <w:gridCol w:w="644"/>
        <w:gridCol w:w="347"/>
        <w:gridCol w:w="481"/>
        <w:gridCol w:w="706"/>
        <w:gridCol w:w="519"/>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建设项目</w:t>
            </w: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项目名称</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扩建机动车维修拆解行业危险废物收集存储项目</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项目代码</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2020-130635-59-03-000054</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建设地点</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河北省保定市蠡县蠡吾镇北漳村西北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行业分类(分类管理名录)</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四十七、生态保护和环境治理业--101危险废物（不含医疗废物）利用及处置</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建设性质</w:t>
            </w:r>
          </w:p>
        </w:tc>
        <w:tc>
          <w:tcPr>
            <w:tcW w:w="7122" w:type="dxa"/>
            <w:gridSpan w:val="9"/>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225" w:firstLineChars="15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mc:AlternateContent>
                <mc:Choice Requires="wps">
                  <w:drawing>
                    <wp:anchor distT="0" distB="0" distL="114300" distR="114300" simplePos="0" relativeHeight="251672576" behindDoc="0" locked="0" layoutInCell="1" allowOverlap="1">
                      <wp:simplePos x="0" y="0"/>
                      <wp:positionH relativeFrom="column">
                        <wp:posOffset>38100</wp:posOffset>
                      </wp:positionH>
                      <wp:positionV relativeFrom="paragraph">
                        <wp:posOffset>22860</wp:posOffset>
                      </wp:positionV>
                      <wp:extent cx="66675" cy="71120"/>
                      <wp:effectExtent l="6350" t="6350" r="18415" b="13970"/>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1.8pt;height:5.6pt;width:5.25pt;z-index:251672576;v-text-anchor:middle;mso-width-relative:page;mso-height-relative:page;" fillcolor="#FFFFFF" filled="t" stroked="t" coordsize="21600,21600" o:gfxdata="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8kU7HdMAAAAFAQAADwAAAAAAAAABACAAAAAiAAAAZHJzL2Rvd25yZXYu&#10;eG1sUEsBAhQAFAAAAAgAh07iQG8L3g5yAgAAAQUAAA4AAAAAAAAAAQAgAAAAIgEAAGRycy9lMm9E&#10;b2MueG1sUEsFBgAAAAAGAAYAWQEAAAYGAAAAAA==&#10;">
                      <v:fill on="t" focussize="0,0"/>
                      <v:stroke weight="1pt" color="#000000" miterlimit="8" joinstyle="miter"/>
                      <v:imagedata o:title=""/>
                      <o:lock v:ext="edit" aspectratio="f"/>
                    </v:rect>
                  </w:pict>
                </mc:Fallback>
              </mc:AlternateContent>
            </w:r>
            <w:r>
              <w:rPr>
                <w:rFonts w:hint="eastAsia" w:ascii="黑体" w:hAnsi="黑体" w:eastAsia="黑体" w:cs="黑体"/>
                <w:color w:val="auto"/>
                <w:sz w:val="15"/>
                <w:szCs w:val="15"/>
              </w:rPr>
              <mc:AlternateContent>
                <mc:Choice Requires="wps">
                  <w:drawing>
                    <wp:anchor distT="0" distB="0" distL="114300" distR="114300" simplePos="0" relativeHeight="251674624" behindDoc="0" locked="0" layoutInCell="1" allowOverlap="1">
                      <wp:simplePos x="0" y="0"/>
                      <wp:positionH relativeFrom="column">
                        <wp:posOffset>435610</wp:posOffset>
                      </wp:positionH>
                      <wp:positionV relativeFrom="paragraph">
                        <wp:posOffset>33655</wp:posOffset>
                      </wp:positionV>
                      <wp:extent cx="66675" cy="71120"/>
                      <wp:effectExtent l="6350" t="6350" r="18415" b="13970"/>
                      <wp:wrapNone/>
                      <wp:docPr id="26" name="矩形 26"/>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3pt;margin-top:2.65pt;height:5.6pt;width:5.25pt;z-index:251674624;v-text-anchor:middle;mso-width-relative:page;mso-height-relative:page;" fillcolor="#000000" filled="t" stroked="t" coordsize="21600,21600" o:gfxdata="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1kvVNcAAAAGAQAADwAAAAAAAAABACAAAAAiAAAAZHJzL2Rvd25yZXYu&#10;eG1sUEsBAhQAFAAAAAgAh07iQC27HUluAgAAAQUAAA4AAAAAAAAAAQAgAAAAJgEAAGRycy9lMm9E&#10;b2MueG1sUEsFBgAAAAAGAAYAWQEAAAYGAAAAAA==&#10;">
                      <v:fill on="t" focussize="0,0"/>
                      <v:stroke weight="1pt" color="#000000" miterlimit="8" joinstyle="miter"/>
                      <v:imagedata o:title=""/>
                      <o:lock v:ext="edit" aspectratio="f"/>
                    </v:rect>
                  </w:pict>
                </mc:Fallback>
              </mc:AlternateContent>
            </w:r>
            <w:r>
              <w:rPr>
                <w:rFonts w:hint="eastAsia" w:ascii="黑体" w:hAnsi="黑体" w:eastAsia="黑体" w:cs="黑体"/>
                <w:color w:val="auto"/>
                <w:sz w:val="15"/>
                <w:szCs w:val="15"/>
              </w:rPr>
              <mc:AlternateContent>
                <mc:Choice Requires="wps">
                  <w:drawing>
                    <wp:anchor distT="0" distB="0" distL="114300" distR="114300" simplePos="0" relativeHeight="251673600" behindDoc="0" locked="0" layoutInCell="1" allowOverlap="1">
                      <wp:simplePos x="0" y="0"/>
                      <wp:positionH relativeFrom="column">
                        <wp:posOffset>902970</wp:posOffset>
                      </wp:positionH>
                      <wp:positionV relativeFrom="paragraph">
                        <wp:posOffset>33655</wp:posOffset>
                      </wp:positionV>
                      <wp:extent cx="66675" cy="71120"/>
                      <wp:effectExtent l="6350" t="6350" r="18415" b="13970"/>
                      <wp:wrapNone/>
                      <wp:docPr id="27" name="矩形 27"/>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1pt;margin-top:2.65pt;height:5.6pt;width:5.25pt;z-index:251673600;v-text-anchor:middle;mso-width-relative:page;mso-height-relative:page;" fillcolor="#FFFFFF" filled="t" stroked="t" coordsize="21600,21600" o:gfxdata="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y5ejdUAAAAIAQAADwAAAAAAAAABACAAAAAiAAAAZHJzL2Rvd25y&#10;ZXYueG1sUEsBAhQAFAAAAAgAh07iQHVdcT5zAgAAAQUAAA4AAAAAAAAAAQAgAAAAJAEAAGRycy9l&#10;Mm9Eb2MueG1sUEsFBgAAAAAGAAYAWQEAAAkGAAAAAA==&#10;">
                      <v:fill on="t" focussize="0,0"/>
                      <v:stroke weight="1pt" color="#000000" miterlimit="8" joinstyle="miter"/>
                      <v:imagedata o:title=""/>
                      <o:lock v:ext="edit" aspectratio="f"/>
                    </v:rect>
                  </w:pict>
                </mc:Fallback>
              </mc:AlternateContent>
            </w:r>
            <w:r>
              <w:rPr>
                <w:rFonts w:hint="eastAsia" w:ascii="黑体" w:hAnsi="黑体" w:eastAsia="黑体" w:cs="黑体"/>
                <w:color w:val="auto"/>
                <w:sz w:val="15"/>
                <w:szCs w:val="15"/>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eastAsia="zh-CN"/>
              </w:rPr>
            </w:pPr>
            <w:r>
              <w:rPr>
                <w:rFonts w:hint="eastAsia" w:ascii="黑体" w:hAnsi="黑体" w:eastAsia="黑体" w:cs="黑体"/>
                <w:color w:val="auto"/>
                <w:sz w:val="15"/>
                <w:szCs w:val="15"/>
                <w:lang w:eastAsia="zh-CN"/>
              </w:rPr>
              <w:t>设计生产能力</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扩建项目完成后全厂年收集、储存及转运机动车维修拆解过程产生的各类危险废物40000吨，最大储存量为129吨，最长暂存时间为4天</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实际生产能力</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rPr>
            </w:pPr>
            <w:r>
              <w:rPr>
                <w:rFonts w:hint="eastAsia" w:ascii="黑体" w:hAnsi="黑体" w:eastAsia="黑体" w:cs="黑体"/>
                <w:color w:val="auto"/>
                <w:sz w:val="15"/>
                <w:szCs w:val="15"/>
                <w:lang w:val="en-US" w:eastAsia="zh-CN"/>
              </w:rPr>
              <w:t>扩建项目完成后全厂收集、储存及转运机动车维修拆解过程产生的各类危险废物30500吨/年，最大储存量为96吨，最长暂存时间为4天</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环评单位</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eastAsia="zh-CN"/>
              </w:rPr>
            </w:pPr>
            <w:r>
              <w:rPr>
                <w:rFonts w:hint="eastAsia" w:ascii="黑体" w:hAnsi="黑体" w:eastAsia="黑体" w:cs="黑体"/>
                <w:color w:val="auto"/>
                <w:sz w:val="15"/>
                <w:szCs w:val="15"/>
                <w:lang w:val="en-US" w:eastAsia="zh-CN"/>
              </w:rPr>
              <w:t>河北时泰工程技术有限公司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环评文件审批机关</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eastAsia="zh-CN"/>
              </w:rPr>
            </w:pPr>
            <w:r>
              <w:rPr>
                <w:rFonts w:hint="eastAsia" w:ascii="黑体" w:hAnsi="黑体" w:eastAsia="黑体" w:cs="黑体"/>
                <w:color w:val="auto"/>
                <w:sz w:val="15"/>
                <w:szCs w:val="15"/>
                <w:lang w:val="en-US" w:eastAsia="zh-CN"/>
              </w:rPr>
              <w:t>蠡县行政审批局</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审批文号</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eastAsia="zh-CN"/>
              </w:rPr>
              <w:t>蠡审环表[2020]24号</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环评文件类型</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开工日期</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2020年10月</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竣工日期</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2021年6月</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排污许可证申领时间</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2021年5月19日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环保设施设计单位</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环保设施施工单位</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本工程排污许可证编号</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91130635MA0CNKDN9E001V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eastAsia="zh-CN"/>
              </w:rPr>
            </w:pPr>
            <w:r>
              <w:rPr>
                <w:rFonts w:hint="eastAsia" w:ascii="黑体" w:hAnsi="黑体" w:eastAsia="黑体" w:cs="黑体"/>
                <w:color w:val="auto"/>
                <w:sz w:val="15"/>
                <w:szCs w:val="15"/>
                <w:lang w:eastAsia="zh-CN"/>
              </w:rPr>
              <w:t xml:space="preserve"> </w:t>
            </w: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验收单位</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eastAsia="zh-CN"/>
              </w:rPr>
              <w:t>河北新环检测集团有限公司</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环保设施监测单位</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河北新环检测</w:t>
            </w:r>
            <w:r>
              <w:rPr>
                <w:rFonts w:hint="eastAsia" w:ascii="黑体" w:hAnsi="黑体" w:eastAsia="黑体" w:cs="黑体"/>
                <w:color w:val="auto"/>
                <w:sz w:val="15"/>
                <w:szCs w:val="15"/>
                <w:lang w:eastAsia="zh-CN"/>
              </w:rPr>
              <w:t>集团</w:t>
            </w:r>
            <w:r>
              <w:rPr>
                <w:rFonts w:hint="eastAsia" w:ascii="黑体" w:hAnsi="黑体" w:eastAsia="黑体" w:cs="黑体"/>
                <w:color w:val="auto"/>
                <w:sz w:val="15"/>
                <w:szCs w:val="15"/>
              </w:rPr>
              <w:t>有限公司</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验收监测时工况</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投资总概算（万元）</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600</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环保投资总概算(万元)</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30</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所占比例（%）</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实际总投资（万元）</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600</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实际环保投资 (万元)</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25</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所占比例(%）</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废水治理（万元）</w:t>
            </w:r>
          </w:p>
        </w:tc>
        <w:tc>
          <w:tcPr>
            <w:tcW w:w="708"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w:t>
            </w:r>
          </w:p>
        </w:tc>
        <w:tc>
          <w:tcPr>
            <w:tcW w:w="1427"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废气治理（万元）</w:t>
            </w:r>
          </w:p>
        </w:tc>
        <w:tc>
          <w:tcPr>
            <w:tcW w:w="69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15</w:t>
            </w:r>
          </w:p>
        </w:tc>
        <w:tc>
          <w:tcPr>
            <w:tcW w:w="127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噪声治理(万元)</w:t>
            </w:r>
          </w:p>
        </w:tc>
        <w:tc>
          <w:tcPr>
            <w:tcW w:w="568"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1</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固体废物治理（万元）</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2</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绿化及生态（万元 ）</w:t>
            </w:r>
          </w:p>
        </w:tc>
        <w:tc>
          <w:tcPr>
            <w:tcW w:w="828"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w:t>
            </w:r>
          </w:p>
        </w:tc>
        <w:tc>
          <w:tcPr>
            <w:tcW w:w="122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其他（万元）</w:t>
            </w:r>
          </w:p>
        </w:tc>
        <w:tc>
          <w:tcPr>
            <w:tcW w:w="793"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98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新增废水处理设施能力</w:t>
            </w:r>
          </w:p>
        </w:tc>
        <w:tc>
          <w:tcPr>
            <w:tcW w:w="4673" w:type="dxa"/>
            <w:gridSpan w:val="8"/>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w:t>
            </w:r>
          </w:p>
        </w:tc>
        <w:tc>
          <w:tcPr>
            <w:tcW w:w="1841"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新增废气处理设施能力</w:t>
            </w:r>
          </w:p>
        </w:tc>
        <w:tc>
          <w:tcPr>
            <w:tcW w:w="2555"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4106.10</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年平均工作时间</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8760h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401" w:type="dxa"/>
            <w:gridSpan w:val="4"/>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r>
              <w:rPr>
                <w:rFonts w:hint="eastAsia" w:ascii="黑体" w:hAnsi="黑体" w:eastAsia="黑体" w:cs="黑体"/>
                <w:color w:val="auto"/>
                <w:sz w:val="15"/>
                <w:szCs w:val="15"/>
                <w:lang w:eastAsia="zh-CN"/>
              </w:rPr>
              <w:t xml:space="preserve"> </w:t>
            </w:r>
            <w:r>
              <w:rPr>
                <w:rFonts w:hint="eastAsia" w:ascii="黑体" w:hAnsi="黑体" w:eastAsia="黑体" w:cs="黑体"/>
                <w:color w:val="auto"/>
                <w:sz w:val="15"/>
                <w:szCs w:val="15"/>
                <w:lang w:val="en-US" w:eastAsia="zh-CN"/>
              </w:rPr>
              <w:t xml:space="preserve">    吗</w:t>
            </w:r>
            <w:r>
              <w:rPr>
                <w:rFonts w:hint="eastAsia" w:ascii="黑体" w:hAnsi="黑体" w:eastAsia="黑体" w:cs="黑体"/>
                <w:color w:val="auto"/>
                <w:sz w:val="15"/>
                <w:szCs w:val="15"/>
              </w:rPr>
              <w:t>运营单位</w:t>
            </w:r>
          </w:p>
        </w:tc>
        <w:tc>
          <w:tcPr>
            <w:tcW w:w="4105" w:type="dxa"/>
            <w:gridSpan w:val="7"/>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eastAsia="zh-CN"/>
              </w:rPr>
            </w:pPr>
            <w:r>
              <w:rPr>
                <w:rFonts w:hint="eastAsia" w:ascii="黑体" w:hAnsi="黑体" w:eastAsia="黑体" w:cs="黑体"/>
                <w:color w:val="auto"/>
                <w:sz w:val="15"/>
                <w:szCs w:val="15"/>
                <w:lang w:eastAsia="zh-CN"/>
              </w:rPr>
              <w:t>保定绿源环保服务有限公司</w:t>
            </w:r>
          </w:p>
        </w:tc>
        <w:tc>
          <w:tcPr>
            <w:tcW w:w="3265"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运营单位社会统一信用代码(或组织机构代码)</w:t>
            </w: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91130635MA0CNKDN9E</w:t>
            </w:r>
          </w:p>
        </w:tc>
        <w:tc>
          <w:tcPr>
            <w:tcW w:w="172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验收时间</w:t>
            </w:r>
          </w:p>
        </w:tc>
        <w:tc>
          <w:tcPr>
            <w:tcW w:w="2846" w:type="dxa"/>
            <w:gridSpan w:val="5"/>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2021年6月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61"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污染物排放达标与总量控制（工业建设项目详填）</w:t>
            </w:r>
          </w:p>
        </w:tc>
        <w:tc>
          <w:tcPr>
            <w:tcW w:w="184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污染物</w:t>
            </w:r>
          </w:p>
        </w:tc>
        <w:tc>
          <w:tcPr>
            <w:tcW w:w="85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原有排放量(1)</w:t>
            </w:r>
          </w:p>
        </w:tc>
        <w:tc>
          <w:tcPr>
            <w:tcW w:w="113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本期工程实际排放浓度(2)</w:t>
            </w:r>
          </w:p>
        </w:tc>
        <w:tc>
          <w:tcPr>
            <w:tcW w:w="1132"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本期工程允许排放浓度(3)</w:t>
            </w:r>
          </w:p>
        </w:tc>
        <w:tc>
          <w:tcPr>
            <w:tcW w:w="9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本期工程产生量(4)</w:t>
            </w:r>
          </w:p>
        </w:tc>
        <w:tc>
          <w:tcPr>
            <w:tcW w:w="1054"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本期工程自身削减量(5)</w:t>
            </w:r>
          </w:p>
        </w:tc>
        <w:tc>
          <w:tcPr>
            <w:tcW w:w="106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本期工程实际排放量(6)</w:t>
            </w:r>
          </w:p>
        </w:tc>
        <w:tc>
          <w:tcPr>
            <w:tcW w:w="114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本期工程核定排放总量(7)</w:t>
            </w:r>
          </w:p>
        </w:tc>
        <w:tc>
          <w:tcPr>
            <w:tcW w:w="169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本期工程“以新带老”削减量(8)</w:t>
            </w:r>
          </w:p>
        </w:tc>
        <w:tc>
          <w:tcPr>
            <w:tcW w:w="10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全厂实际排放总量(9)</w:t>
            </w:r>
          </w:p>
        </w:tc>
        <w:tc>
          <w:tcPr>
            <w:tcW w:w="99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全厂核定排放总量(10)</w:t>
            </w:r>
          </w:p>
        </w:tc>
        <w:tc>
          <w:tcPr>
            <w:tcW w:w="1187"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区域平衡替代削减量(11)</w:t>
            </w:r>
          </w:p>
        </w:tc>
        <w:tc>
          <w:tcPr>
            <w:tcW w:w="131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kern w:val="2"/>
                <w:sz w:val="15"/>
                <w:szCs w:val="15"/>
                <w:lang w:val="en-US" w:eastAsia="zh-CN" w:bidi="ar-SA"/>
              </w:rPr>
            </w:pPr>
            <w:r>
              <w:rPr>
                <w:rFonts w:hint="eastAsia" w:ascii="黑体" w:hAnsi="黑体" w:eastAsia="黑体" w:cs="黑体"/>
                <w:color w:val="auto"/>
                <w:sz w:val="15"/>
                <w:szCs w:val="15"/>
                <w:lang w:eastAsia="zh-CN"/>
              </w:rPr>
              <w:t>排气量</w:t>
            </w:r>
          </w:p>
        </w:tc>
        <w:tc>
          <w:tcPr>
            <w:tcW w:w="850" w:type="dxa"/>
            <w:gridSpan w:val="2"/>
            <w:noWrap w:val="0"/>
            <w:vAlign w:val="center"/>
          </w:tcPr>
          <w:p>
            <w:pPr>
              <w:pStyle w:val="5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黑体" w:hAnsi="黑体" w:eastAsia="黑体" w:cs="黑体"/>
                <w:color w:val="auto"/>
                <w:kern w:val="2"/>
                <w:sz w:val="15"/>
                <w:szCs w:val="15"/>
                <w:lang w:val="en-US" w:eastAsia="zh-CN" w:bidi="ar-SA"/>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kern w:val="2"/>
                <w:sz w:val="15"/>
                <w:szCs w:val="15"/>
                <w:lang w:val="en-US" w:eastAsia="zh-CN" w:bidi="ar-SA"/>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kern w:val="2"/>
                <w:sz w:val="15"/>
                <w:szCs w:val="15"/>
                <w:lang w:val="en-US" w:eastAsia="zh-CN" w:bidi="ar-SA"/>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kern w:val="2"/>
                <w:sz w:val="15"/>
                <w:szCs w:val="15"/>
                <w:lang w:val="en-US" w:eastAsia="zh-CN" w:bidi="ar-SA"/>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kern w:val="2"/>
                <w:sz w:val="15"/>
                <w:szCs w:val="15"/>
                <w:lang w:val="en-US" w:eastAsia="zh-CN" w:bidi="ar-SA"/>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kern w:val="2"/>
                <w:sz w:val="15"/>
                <w:szCs w:val="15"/>
                <w:lang w:val="en-US" w:eastAsia="zh-CN" w:bidi="ar-SA"/>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kern w:val="2"/>
                <w:sz w:val="15"/>
                <w:szCs w:val="15"/>
                <w:lang w:val="en-US" w:eastAsia="zh-CN" w:bidi="ar-SA"/>
              </w:rPr>
              <w:t>4106.10</w:t>
            </w: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kern w:val="2"/>
                <w:sz w:val="15"/>
                <w:szCs w:val="15"/>
                <w:lang w:val="en-US" w:eastAsia="zh-CN" w:bidi="ar-SA"/>
              </w:rPr>
            </w:pPr>
            <w:r>
              <w:rPr>
                <w:rFonts w:hint="eastAsia" w:ascii="黑体" w:hAnsi="黑体" w:eastAsia="黑体" w:cs="黑体"/>
                <w:color w:val="auto"/>
                <w:sz w:val="15"/>
                <w:szCs w:val="15"/>
                <w:lang w:eastAsia="zh-CN"/>
              </w:rPr>
              <w:t>非甲烷总烃</w:t>
            </w:r>
          </w:p>
        </w:tc>
        <w:tc>
          <w:tcPr>
            <w:tcW w:w="850" w:type="dxa"/>
            <w:gridSpan w:val="2"/>
            <w:noWrap w:val="0"/>
            <w:vAlign w:val="center"/>
          </w:tcPr>
          <w:p>
            <w:pPr>
              <w:pStyle w:val="5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kern w:val="2"/>
                <w:sz w:val="15"/>
                <w:szCs w:val="15"/>
                <w:lang w:val="en-US" w:eastAsia="zh-CN" w:bidi="ar-SA"/>
              </w:rPr>
              <w:t>0.243</w:t>
            </w: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sz w:val="15"/>
                <w:szCs w:val="15"/>
                <w:lang w:val="en-US" w:eastAsia="zh-CN"/>
              </w:rPr>
              <w:t>0.59</w:t>
            </w: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sz w:val="15"/>
                <w:szCs w:val="15"/>
                <w:lang w:val="en-US" w:eastAsia="zh-CN"/>
              </w:rPr>
              <w:t>80</w:t>
            </w: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sz w:val="15"/>
                <w:szCs w:val="15"/>
                <w:lang w:val="en-US" w:eastAsia="zh-CN"/>
              </w:rPr>
              <w:t>0.074</w:t>
            </w: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sz w:val="15"/>
                <w:szCs w:val="15"/>
                <w:lang w:val="en-US" w:eastAsia="zh-CN"/>
              </w:rPr>
              <w:t>0.050</w:t>
            </w: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kern w:val="2"/>
                <w:sz w:val="15"/>
                <w:szCs w:val="15"/>
                <w:lang w:val="en-US" w:eastAsia="zh-CN" w:bidi="ar-SA"/>
              </w:rPr>
              <w:t>0.024</w:t>
            </w: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kern w:val="2"/>
                <w:sz w:val="15"/>
                <w:szCs w:val="15"/>
                <w:lang w:val="en-US" w:eastAsia="zh-CN" w:bidi="ar-SA"/>
              </w:rPr>
            </w:pPr>
            <w:r>
              <w:rPr>
                <w:rFonts w:hint="eastAsia" w:ascii="黑体" w:hAnsi="黑体" w:eastAsia="黑体" w:cs="黑体"/>
                <w:color w:val="auto"/>
                <w:sz w:val="15"/>
                <w:szCs w:val="15"/>
                <w:lang w:val="en-US" w:eastAsia="zh-CN"/>
              </w:rPr>
              <w:t>0.486</w:t>
            </w: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w:t>
            </w: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0.267</w:t>
            </w: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0.759</w:t>
            </w: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黑体" w:hAnsi="黑体" w:eastAsia="黑体" w:cs="黑体"/>
                <w:color w:val="auto"/>
                <w:sz w:val="15"/>
                <w:szCs w:val="15"/>
                <w:lang w:val="en-US" w:eastAsia="zh-CN"/>
              </w:rPr>
            </w:pPr>
            <w:r>
              <w:rPr>
                <w:rFonts w:hint="eastAsia" w:ascii="黑体" w:hAnsi="黑体" w:eastAsia="黑体" w:cs="黑体"/>
                <w:color w:val="auto"/>
                <w:sz w:val="15"/>
                <w:szCs w:val="15"/>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eastAsia="zh-CN"/>
              </w:rPr>
            </w:pPr>
          </w:p>
        </w:tc>
        <w:tc>
          <w:tcPr>
            <w:tcW w:w="850" w:type="dxa"/>
            <w:gridSpan w:val="2"/>
            <w:noWrap w:val="0"/>
            <w:vAlign w:val="center"/>
          </w:tcPr>
          <w:p>
            <w:pPr>
              <w:pStyle w:val="5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lang w:val="en-US" w:eastAsia="zh-CN"/>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84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eastAsia" w:ascii="黑体" w:hAnsi="黑体" w:eastAsia="黑体" w:cs="黑体"/>
                <w:color w:val="auto"/>
                <w:sz w:val="15"/>
                <w:szCs w:val="15"/>
              </w:rPr>
            </w:pPr>
            <w:r>
              <w:rPr>
                <w:rFonts w:hint="eastAsia" w:ascii="黑体" w:hAnsi="黑体" w:eastAsia="黑体" w:cs="黑体"/>
                <w:color w:val="auto"/>
                <w:sz w:val="15"/>
                <w:szCs w:val="15"/>
              </w:rPr>
              <w:t>与项目有关的其他特征污染物</w:t>
            </w:r>
          </w:p>
        </w:tc>
        <w:tc>
          <w:tcPr>
            <w:tcW w:w="84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4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4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61" w:type="dxa"/>
            <w:gridSpan w:val="2"/>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4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850"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黑体" w:hAnsi="黑体" w:eastAsia="黑体" w:cs="黑体"/>
                <w:color w:val="auto"/>
                <w:sz w:val="15"/>
                <w:szCs w:val="15"/>
              </w:rPr>
            </w:pPr>
          </w:p>
        </w:tc>
        <w:tc>
          <w:tcPr>
            <w:tcW w:w="1132" w:type="dxa"/>
            <w:gridSpan w:val="3"/>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54"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6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eastAsia" w:ascii="黑体" w:hAnsi="黑体" w:eastAsia="黑体" w:cs="黑体"/>
                <w:color w:val="auto"/>
                <w:sz w:val="15"/>
                <w:szCs w:val="15"/>
              </w:rPr>
            </w:pPr>
          </w:p>
        </w:tc>
        <w:tc>
          <w:tcPr>
            <w:tcW w:w="114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699"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077"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991"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187"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c>
          <w:tcPr>
            <w:tcW w:w="1312"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eastAsia" w:ascii="黑体" w:hAnsi="黑体" w:eastAsia="黑体" w:cs="黑体"/>
                <w:color w:val="auto"/>
                <w:sz w:val="15"/>
                <w:szCs w:val="15"/>
              </w:rPr>
            </w:pPr>
          </w:p>
        </w:tc>
      </w:tr>
    </w:tbl>
    <w:p>
      <w:pPr>
        <w:keepNext w:val="0"/>
        <w:keepLines w:val="0"/>
        <w:pageBreakBefore w:val="0"/>
        <w:widowControl w:val="0"/>
        <w:kinsoku/>
        <w:wordWrap/>
        <w:overflowPunct/>
        <w:topLinePunct w:val="0"/>
        <w:autoSpaceDE/>
        <w:autoSpaceDN/>
        <w:bidi w:val="0"/>
        <w:adjustRightInd w:val="0"/>
        <w:snapToGrid w:val="0"/>
        <w:spacing w:after="0"/>
        <w:ind w:firstLine="300" w:firstLineChars="200"/>
        <w:textAlignment w:val="auto"/>
        <w:rPr>
          <w:rFonts w:ascii="黑体" w:hAnsi="黑体" w:eastAsia="黑体"/>
          <w:color w:val="auto"/>
          <w:sz w:val="15"/>
        </w:rPr>
      </w:pPr>
      <w:r>
        <w:rPr>
          <w:rFonts w:hint="eastAsia" w:ascii="黑体" w:hAnsi="黑体" w:eastAsia="黑体"/>
          <w:color w:val="auto"/>
          <w:sz w:val="15"/>
        </w:rPr>
        <w:t>注：1、排放增减量：(+)表示增加，(-)表示减少。2、(12)=</w:t>
      </w:r>
      <w:r>
        <w:rPr>
          <w:rFonts w:ascii="黑体" w:hAnsi="黑体" w:eastAsia="黑体"/>
          <w:color w:val="auto"/>
          <w:sz w:val="15"/>
        </w:rPr>
        <w:t>(6)- (8)- (11)</w:t>
      </w:r>
      <w:r>
        <w:rPr>
          <w:rFonts w:hint="eastAsia" w:ascii="黑体" w:hAnsi="黑体" w:eastAsia="黑体"/>
          <w:color w:val="auto"/>
          <w:sz w:val="15"/>
        </w:rPr>
        <w:t>，</w:t>
      </w:r>
      <w:r>
        <w:rPr>
          <w:rFonts w:ascii="黑体" w:hAnsi="黑体" w:eastAsia="黑体"/>
          <w:color w:val="auto"/>
          <w:sz w:val="15"/>
        </w:rPr>
        <w:t>(9)= (4)-(5)-(8)-(11)+(1)</w:t>
      </w:r>
      <w:r>
        <w:rPr>
          <w:rFonts w:hint="eastAsia" w:ascii="黑体" w:hAnsi="黑体" w:eastAsia="黑体"/>
          <w:color w:val="auto"/>
          <w:sz w:val="15"/>
        </w:rPr>
        <w:t>。3、计量单位：废水排放量——万吨/年；废气排放量——万标立方米/年；工业固体废物排放量——万吨/年；</w:t>
      </w:r>
    </w:p>
    <w:p>
      <w:pPr>
        <w:keepNext w:val="0"/>
        <w:keepLines w:val="0"/>
        <w:pageBreakBefore w:val="0"/>
        <w:widowControl w:val="0"/>
        <w:kinsoku/>
        <w:wordWrap/>
        <w:overflowPunct/>
        <w:topLinePunct w:val="0"/>
        <w:autoSpaceDE/>
        <w:autoSpaceDN/>
        <w:bidi w:val="0"/>
        <w:adjustRightInd w:val="0"/>
        <w:snapToGrid w:val="0"/>
        <w:spacing w:after="0"/>
        <w:ind w:firstLine="300" w:firstLineChars="200"/>
        <w:textAlignment w:val="auto"/>
        <w:rPr>
          <w:rFonts w:hint="eastAsia" w:ascii="黑体" w:hAnsi="黑体" w:eastAsia="黑体"/>
          <w:color w:val="auto"/>
          <w:sz w:val="15"/>
        </w:rPr>
        <w:sectPr>
          <w:footerReference r:id="rId14"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黑体" w:hAnsi="黑体" w:eastAsia="黑体"/>
          <w:color w:val="auto"/>
          <w:sz w:val="15"/>
        </w:rPr>
        <w:t>水污染物排放浓度——毫克/升</w:t>
      </w:r>
    </w:p>
    <w:p>
      <w:pPr>
        <w:bidi w:val="0"/>
        <w:rPr>
          <w:rFonts w:hint="default" w:ascii="宋体" w:hAnsi="宋体" w:eastAsia="宋体" w:cs="宋体"/>
          <w:b/>
          <w:bCs/>
          <w:sz w:val="30"/>
          <w:szCs w:val="30"/>
          <w:lang w:val="en-US" w:eastAsia="zh-CN"/>
        </w:rPr>
      </w:pPr>
      <w:r>
        <w:rPr>
          <w:rFonts w:hint="eastAsia" w:ascii="宋体" w:hAnsi="宋体" w:eastAsia="宋体" w:cs="宋体"/>
          <w:b/>
          <w:bCs/>
          <w:sz w:val="30"/>
          <w:szCs w:val="30"/>
          <w:lang w:val="en-US" w:eastAsia="zh-CN"/>
        </w:rPr>
        <w:t xml:space="preserve">附图/附件 </w:t>
      </w:r>
    </w:p>
    <w:p>
      <w:pPr>
        <w:bidi w:val="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附图</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项目地理位置图</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项目周边关系图</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厂区平面布置图</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危废暂存仓库平面布置图</w:t>
      </w:r>
    </w:p>
    <w:p>
      <w:pPr>
        <w:bidi w:val="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附件</w:t>
      </w:r>
    </w:p>
    <w:p>
      <w:pPr>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备案意见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2、企业地类情况说明</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3、《保定绿源环保服务有限公司新建废矿物油存贮项目环境影响报告表》审批意见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4、《保定绿源环保有限公司库房地面、水池、地沟防腐、防渗漏工程施工方案》（保定安邦建筑装饰工程有限公司）</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color w:val="auto"/>
          <w:sz w:val="24"/>
          <w:szCs w:val="24"/>
          <w:lang w:val="en-US" w:eastAsia="zh-CN"/>
        </w:rPr>
        <w:t>《保定绿源环保服务有限公司新建废矿物油存贮项目固体废物污染防治设施竣工环境保护验收批复》</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6、《保定绿源环保服务有限公司扩建机动车维修拆解行业危险废物收集存储项目环境影响报告表》审批意见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7、《保定绿源环保服务有限公司扩建机动车维修拆解行业危险废物收集存储项目环境影响评价补充说明》</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8、施工方案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9、固定污染源排污登记回执</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10、危废协议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11、河北省危险废物收集许可证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12、企业事业单位突发环境事件应急预案备案表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13、运输协议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14、检测报告</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15、验收意见</w:t>
      </w:r>
    </w:p>
    <w:p>
      <w:pPr>
        <w:bidi w:val="0"/>
        <w:rPr>
          <w:rFonts w:hint="eastAsia"/>
          <w:lang w:val="en-US" w:eastAsia="zh-CN"/>
        </w:rPr>
      </w:pPr>
    </w:p>
    <w:sectPr>
      <w:headerReference r:id="rId15" w:type="default"/>
      <w:footerReference r:id="rId16" w:type="default"/>
      <w:pgSz w:w="11906" w:h="16838"/>
      <w:pgMar w:top="1701" w:right="1701" w:bottom="1701" w:left="170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spacing w:after="0"/>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38</w:t>
                    </w:r>
                    <w: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3F639A"/>
    <w:multiLevelType w:val="singleLevel"/>
    <w:tmpl w:val="FB3F639A"/>
    <w:lvl w:ilvl="0" w:tentative="0">
      <w:start w:val="1"/>
      <w:numFmt w:val="decimal"/>
      <w:suff w:val="nothing"/>
      <w:lvlText w:val="%1、"/>
      <w:lvlJc w:val="left"/>
    </w:lvl>
  </w:abstractNum>
  <w:abstractNum w:abstractNumId="1">
    <w:nsid w:val="0EF58C92"/>
    <w:multiLevelType w:val="singleLevel"/>
    <w:tmpl w:val="0EF58C92"/>
    <w:lvl w:ilvl="0" w:tentative="0">
      <w:start w:val="1"/>
      <w:numFmt w:val="decimal"/>
      <w:suff w:val="nothing"/>
      <w:lvlText w:val="（%1）"/>
      <w:lvlJc w:val="left"/>
    </w:lvl>
  </w:abstractNum>
  <w:abstractNum w:abstractNumId="2">
    <w:nsid w:val="23B73705"/>
    <w:multiLevelType w:val="singleLevel"/>
    <w:tmpl w:val="23B73705"/>
    <w:lvl w:ilvl="0" w:tentative="0">
      <w:start w:val="1"/>
      <w:numFmt w:val="decimal"/>
      <w:suff w:val="nothing"/>
      <w:lvlText w:val="%1、"/>
      <w:lvlJc w:val="left"/>
    </w:lvl>
  </w:abstractNum>
  <w:abstractNum w:abstractNumId="3">
    <w:nsid w:val="25EA76AD"/>
    <w:multiLevelType w:val="singleLevel"/>
    <w:tmpl w:val="25EA76AD"/>
    <w:lvl w:ilvl="0" w:tentative="0">
      <w:start w:val="1"/>
      <w:numFmt w:val="decimal"/>
      <w:suff w:val="nothing"/>
      <w:lvlText w:val="%1、"/>
      <w:lvlJc w:val="left"/>
      <w:pPr>
        <w:ind w:left="-40"/>
      </w:pPr>
    </w:lvl>
  </w:abstractNum>
  <w:abstractNum w:abstractNumId="4">
    <w:nsid w:val="301B67F1"/>
    <w:multiLevelType w:val="singleLevel"/>
    <w:tmpl w:val="301B67F1"/>
    <w:lvl w:ilvl="0" w:tentative="0">
      <w:start w:val="1"/>
      <w:numFmt w:val="decimal"/>
      <w:suff w:val="nothing"/>
      <w:lvlText w:val="%1、"/>
      <w:lvlJc w:val="left"/>
    </w:lvl>
  </w:abstractNum>
  <w:abstractNum w:abstractNumId="5">
    <w:nsid w:val="55FABD61"/>
    <w:multiLevelType w:val="singleLevel"/>
    <w:tmpl w:val="55FABD61"/>
    <w:lvl w:ilvl="0" w:tentative="0">
      <w:start w:val="1"/>
      <w:numFmt w:val="decimal"/>
      <w:suff w:val="nothing"/>
      <w:lvlText w:val="%1、"/>
      <w:lvlJc w:val="left"/>
    </w:lvl>
  </w:abstractNum>
  <w:abstractNum w:abstractNumId="6">
    <w:nsid w:val="57EBE8F6"/>
    <w:multiLevelType w:val="singleLevel"/>
    <w:tmpl w:val="57EBE8F6"/>
    <w:lvl w:ilvl="0" w:tentative="0">
      <w:start w:val="1"/>
      <w:numFmt w:val="decimal"/>
      <w:suff w:val="nothing"/>
      <w:lvlText w:val="%1、"/>
      <w:lvlJc w:val="left"/>
    </w:lvl>
  </w:abstractNum>
  <w:abstractNum w:abstractNumId="7">
    <w:nsid w:val="688A02AC"/>
    <w:multiLevelType w:val="singleLevel"/>
    <w:tmpl w:val="688A02AC"/>
    <w:lvl w:ilvl="0" w:tentative="0">
      <w:start w:val="1"/>
      <w:numFmt w:val="chineseCounting"/>
      <w:suff w:val="nothing"/>
      <w:lvlText w:val="%1、"/>
      <w:lvlJc w:val="left"/>
      <w:rPr>
        <w:rFonts w:hint="eastAsia"/>
      </w:rPr>
    </w:lvl>
  </w:abstractNum>
  <w:num w:numId="1">
    <w:abstractNumId w:val="3"/>
  </w:num>
  <w:num w:numId="2">
    <w:abstractNumId w:val="1"/>
  </w:num>
  <w:num w:numId="3">
    <w:abstractNumId w:val="6"/>
  </w:num>
  <w:num w:numId="4">
    <w:abstractNumId w:val="0"/>
  </w:num>
  <w:num w:numId="5">
    <w:abstractNumId w:val="7"/>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164"/>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89C"/>
    <w:rsid w:val="00000CEA"/>
    <w:rsid w:val="0000474F"/>
    <w:rsid w:val="000056CC"/>
    <w:rsid w:val="00006C7D"/>
    <w:rsid w:val="000075D7"/>
    <w:rsid w:val="0001022B"/>
    <w:rsid w:val="000103C7"/>
    <w:rsid w:val="00010F0F"/>
    <w:rsid w:val="00012478"/>
    <w:rsid w:val="00014876"/>
    <w:rsid w:val="00017C20"/>
    <w:rsid w:val="00021393"/>
    <w:rsid w:val="000216E1"/>
    <w:rsid w:val="00021ABC"/>
    <w:rsid w:val="000258A0"/>
    <w:rsid w:val="0002597E"/>
    <w:rsid w:val="00025D0E"/>
    <w:rsid w:val="00025E9C"/>
    <w:rsid w:val="000260D1"/>
    <w:rsid w:val="00026666"/>
    <w:rsid w:val="00030153"/>
    <w:rsid w:val="000302C8"/>
    <w:rsid w:val="0003139C"/>
    <w:rsid w:val="0003438C"/>
    <w:rsid w:val="0003501A"/>
    <w:rsid w:val="00040D34"/>
    <w:rsid w:val="00043693"/>
    <w:rsid w:val="00043764"/>
    <w:rsid w:val="0004554F"/>
    <w:rsid w:val="00051A49"/>
    <w:rsid w:val="00060086"/>
    <w:rsid w:val="00060AA5"/>
    <w:rsid w:val="00062654"/>
    <w:rsid w:val="00065037"/>
    <w:rsid w:val="00065A9D"/>
    <w:rsid w:val="000675F4"/>
    <w:rsid w:val="00070A33"/>
    <w:rsid w:val="00071162"/>
    <w:rsid w:val="00082AAD"/>
    <w:rsid w:val="00087E6A"/>
    <w:rsid w:val="00090B39"/>
    <w:rsid w:val="00092A52"/>
    <w:rsid w:val="00092D97"/>
    <w:rsid w:val="0009599F"/>
    <w:rsid w:val="00096F39"/>
    <w:rsid w:val="00097E84"/>
    <w:rsid w:val="000A1E0C"/>
    <w:rsid w:val="000B192C"/>
    <w:rsid w:val="000B1C7A"/>
    <w:rsid w:val="000B3AF7"/>
    <w:rsid w:val="000B3CD7"/>
    <w:rsid w:val="000B41ED"/>
    <w:rsid w:val="000B4C42"/>
    <w:rsid w:val="000C0AA2"/>
    <w:rsid w:val="000C3ACE"/>
    <w:rsid w:val="000C4604"/>
    <w:rsid w:val="000C6ACF"/>
    <w:rsid w:val="000D05D6"/>
    <w:rsid w:val="000D2867"/>
    <w:rsid w:val="000D4D62"/>
    <w:rsid w:val="000E088F"/>
    <w:rsid w:val="000E357A"/>
    <w:rsid w:val="000E755D"/>
    <w:rsid w:val="000F4214"/>
    <w:rsid w:val="000F5B4D"/>
    <w:rsid w:val="000F6EB0"/>
    <w:rsid w:val="001008BC"/>
    <w:rsid w:val="00101E8D"/>
    <w:rsid w:val="0010469F"/>
    <w:rsid w:val="00104B37"/>
    <w:rsid w:val="00106A4B"/>
    <w:rsid w:val="00110BBA"/>
    <w:rsid w:val="00110C84"/>
    <w:rsid w:val="00115944"/>
    <w:rsid w:val="00115AAE"/>
    <w:rsid w:val="001165C1"/>
    <w:rsid w:val="001266B7"/>
    <w:rsid w:val="0012719A"/>
    <w:rsid w:val="00127B44"/>
    <w:rsid w:val="001300E4"/>
    <w:rsid w:val="0013063A"/>
    <w:rsid w:val="00133ADA"/>
    <w:rsid w:val="00133B6A"/>
    <w:rsid w:val="00136BC2"/>
    <w:rsid w:val="001417D0"/>
    <w:rsid w:val="00142513"/>
    <w:rsid w:val="00146AF5"/>
    <w:rsid w:val="0014786B"/>
    <w:rsid w:val="00152FDC"/>
    <w:rsid w:val="00155A38"/>
    <w:rsid w:val="00155D52"/>
    <w:rsid w:val="00156C3C"/>
    <w:rsid w:val="001622B8"/>
    <w:rsid w:val="00162A5A"/>
    <w:rsid w:val="00163AA5"/>
    <w:rsid w:val="00165934"/>
    <w:rsid w:val="00166388"/>
    <w:rsid w:val="00166759"/>
    <w:rsid w:val="001670CF"/>
    <w:rsid w:val="001672EB"/>
    <w:rsid w:val="001679E6"/>
    <w:rsid w:val="001704B6"/>
    <w:rsid w:val="00170C65"/>
    <w:rsid w:val="0017120F"/>
    <w:rsid w:val="00173012"/>
    <w:rsid w:val="00174096"/>
    <w:rsid w:val="00177663"/>
    <w:rsid w:val="0018101C"/>
    <w:rsid w:val="00182E3A"/>
    <w:rsid w:val="001842E8"/>
    <w:rsid w:val="00186A28"/>
    <w:rsid w:val="001876D0"/>
    <w:rsid w:val="00191D69"/>
    <w:rsid w:val="00193C6C"/>
    <w:rsid w:val="001952E5"/>
    <w:rsid w:val="00196CD4"/>
    <w:rsid w:val="001A1DDD"/>
    <w:rsid w:val="001A26DD"/>
    <w:rsid w:val="001A2CF2"/>
    <w:rsid w:val="001A534D"/>
    <w:rsid w:val="001A600E"/>
    <w:rsid w:val="001B1186"/>
    <w:rsid w:val="001B1AF9"/>
    <w:rsid w:val="001B78D8"/>
    <w:rsid w:val="001B79F0"/>
    <w:rsid w:val="001C0336"/>
    <w:rsid w:val="001C0F1E"/>
    <w:rsid w:val="001C12C5"/>
    <w:rsid w:val="001C211B"/>
    <w:rsid w:val="001C2593"/>
    <w:rsid w:val="001C6970"/>
    <w:rsid w:val="001D2B15"/>
    <w:rsid w:val="001D2C0E"/>
    <w:rsid w:val="001D4BB7"/>
    <w:rsid w:val="001D6BC0"/>
    <w:rsid w:val="001D740B"/>
    <w:rsid w:val="001D7511"/>
    <w:rsid w:val="001E010F"/>
    <w:rsid w:val="001E2196"/>
    <w:rsid w:val="001E2C5C"/>
    <w:rsid w:val="001E371D"/>
    <w:rsid w:val="001E44BE"/>
    <w:rsid w:val="001E51E0"/>
    <w:rsid w:val="001F0F3F"/>
    <w:rsid w:val="001F1338"/>
    <w:rsid w:val="001F14E6"/>
    <w:rsid w:val="001F394A"/>
    <w:rsid w:val="00200A94"/>
    <w:rsid w:val="002026F7"/>
    <w:rsid w:val="00203DFD"/>
    <w:rsid w:val="002045FE"/>
    <w:rsid w:val="002074F0"/>
    <w:rsid w:val="002076BE"/>
    <w:rsid w:val="00214F8F"/>
    <w:rsid w:val="002175A0"/>
    <w:rsid w:val="0022395E"/>
    <w:rsid w:val="002255CB"/>
    <w:rsid w:val="002323DC"/>
    <w:rsid w:val="0023631B"/>
    <w:rsid w:val="002378F9"/>
    <w:rsid w:val="00242C3F"/>
    <w:rsid w:val="00243350"/>
    <w:rsid w:val="002433C5"/>
    <w:rsid w:val="00245534"/>
    <w:rsid w:val="00250018"/>
    <w:rsid w:val="00250674"/>
    <w:rsid w:val="00252821"/>
    <w:rsid w:val="0025399D"/>
    <w:rsid w:val="00253B5A"/>
    <w:rsid w:val="00254196"/>
    <w:rsid w:val="00256299"/>
    <w:rsid w:val="002564D6"/>
    <w:rsid w:val="00263610"/>
    <w:rsid w:val="00264444"/>
    <w:rsid w:val="0026562C"/>
    <w:rsid w:val="00267ADC"/>
    <w:rsid w:val="002711BE"/>
    <w:rsid w:val="0027123C"/>
    <w:rsid w:val="002714A2"/>
    <w:rsid w:val="0027246D"/>
    <w:rsid w:val="0027266B"/>
    <w:rsid w:val="002773EC"/>
    <w:rsid w:val="00277AF5"/>
    <w:rsid w:val="002801DC"/>
    <w:rsid w:val="00281971"/>
    <w:rsid w:val="00282046"/>
    <w:rsid w:val="00285EBC"/>
    <w:rsid w:val="002902A1"/>
    <w:rsid w:val="00293283"/>
    <w:rsid w:val="0029444B"/>
    <w:rsid w:val="00294C95"/>
    <w:rsid w:val="00295958"/>
    <w:rsid w:val="0029675A"/>
    <w:rsid w:val="00297422"/>
    <w:rsid w:val="002A3543"/>
    <w:rsid w:val="002A46B9"/>
    <w:rsid w:val="002A5D7B"/>
    <w:rsid w:val="002A6175"/>
    <w:rsid w:val="002A6445"/>
    <w:rsid w:val="002A6487"/>
    <w:rsid w:val="002B12DF"/>
    <w:rsid w:val="002B1464"/>
    <w:rsid w:val="002B271C"/>
    <w:rsid w:val="002B2E33"/>
    <w:rsid w:val="002C0AE8"/>
    <w:rsid w:val="002C23CC"/>
    <w:rsid w:val="002C2F28"/>
    <w:rsid w:val="002C37CA"/>
    <w:rsid w:val="002C5A7E"/>
    <w:rsid w:val="002C77DB"/>
    <w:rsid w:val="002D0915"/>
    <w:rsid w:val="002D1C6F"/>
    <w:rsid w:val="002D29CD"/>
    <w:rsid w:val="002D7BE6"/>
    <w:rsid w:val="002E25BB"/>
    <w:rsid w:val="002E4A19"/>
    <w:rsid w:val="002E4AA7"/>
    <w:rsid w:val="002F01F4"/>
    <w:rsid w:val="002F4902"/>
    <w:rsid w:val="002F4CD2"/>
    <w:rsid w:val="002F6460"/>
    <w:rsid w:val="003003D3"/>
    <w:rsid w:val="003006CD"/>
    <w:rsid w:val="003048DB"/>
    <w:rsid w:val="003057CB"/>
    <w:rsid w:val="00306267"/>
    <w:rsid w:val="00306276"/>
    <w:rsid w:val="00307FB6"/>
    <w:rsid w:val="003139FE"/>
    <w:rsid w:val="00316EC5"/>
    <w:rsid w:val="00316F63"/>
    <w:rsid w:val="00322F48"/>
    <w:rsid w:val="00323B43"/>
    <w:rsid w:val="00326CB2"/>
    <w:rsid w:val="003309B6"/>
    <w:rsid w:val="003320E3"/>
    <w:rsid w:val="003326CF"/>
    <w:rsid w:val="003352EE"/>
    <w:rsid w:val="003375C8"/>
    <w:rsid w:val="00337DC6"/>
    <w:rsid w:val="003408FB"/>
    <w:rsid w:val="00342943"/>
    <w:rsid w:val="003447C8"/>
    <w:rsid w:val="00344B30"/>
    <w:rsid w:val="00346610"/>
    <w:rsid w:val="00347505"/>
    <w:rsid w:val="00354836"/>
    <w:rsid w:val="00354C73"/>
    <w:rsid w:val="00355350"/>
    <w:rsid w:val="003562FC"/>
    <w:rsid w:val="003615DE"/>
    <w:rsid w:val="00362CE6"/>
    <w:rsid w:val="00363903"/>
    <w:rsid w:val="003640F7"/>
    <w:rsid w:val="00364DDA"/>
    <w:rsid w:val="003666B8"/>
    <w:rsid w:val="003703A5"/>
    <w:rsid w:val="00373737"/>
    <w:rsid w:val="003739F3"/>
    <w:rsid w:val="0037557C"/>
    <w:rsid w:val="003826AE"/>
    <w:rsid w:val="00385462"/>
    <w:rsid w:val="00385F7D"/>
    <w:rsid w:val="00390971"/>
    <w:rsid w:val="00390ACE"/>
    <w:rsid w:val="00393259"/>
    <w:rsid w:val="003A2E23"/>
    <w:rsid w:val="003A3BB9"/>
    <w:rsid w:val="003B10A9"/>
    <w:rsid w:val="003B412E"/>
    <w:rsid w:val="003C0B68"/>
    <w:rsid w:val="003C1C8A"/>
    <w:rsid w:val="003C3DC2"/>
    <w:rsid w:val="003C45F0"/>
    <w:rsid w:val="003C66FD"/>
    <w:rsid w:val="003D37D8"/>
    <w:rsid w:val="003D76CC"/>
    <w:rsid w:val="003E0DE9"/>
    <w:rsid w:val="003E1A86"/>
    <w:rsid w:val="003E3901"/>
    <w:rsid w:val="003E4B26"/>
    <w:rsid w:val="003F1953"/>
    <w:rsid w:val="003F1F09"/>
    <w:rsid w:val="003F300B"/>
    <w:rsid w:val="003F4D2F"/>
    <w:rsid w:val="003F4E9F"/>
    <w:rsid w:val="003F6FA3"/>
    <w:rsid w:val="003F7429"/>
    <w:rsid w:val="003F76E6"/>
    <w:rsid w:val="0040085F"/>
    <w:rsid w:val="004011D6"/>
    <w:rsid w:val="004020D7"/>
    <w:rsid w:val="00402215"/>
    <w:rsid w:val="00402326"/>
    <w:rsid w:val="00406FA4"/>
    <w:rsid w:val="00414108"/>
    <w:rsid w:val="00415951"/>
    <w:rsid w:val="00415D85"/>
    <w:rsid w:val="0041654F"/>
    <w:rsid w:val="00422ED1"/>
    <w:rsid w:val="00424EDD"/>
    <w:rsid w:val="0042584B"/>
    <w:rsid w:val="00426133"/>
    <w:rsid w:val="00426673"/>
    <w:rsid w:val="004275E3"/>
    <w:rsid w:val="00431F19"/>
    <w:rsid w:val="0043275D"/>
    <w:rsid w:val="0043383F"/>
    <w:rsid w:val="00433D3B"/>
    <w:rsid w:val="004358AB"/>
    <w:rsid w:val="00436291"/>
    <w:rsid w:val="0043785C"/>
    <w:rsid w:val="00441566"/>
    <w:rsid w:val="0044423D"/>
    <w:rsid w:val="0044496D"/>
    <w:rsid w:val="00457497"/>
    <w:rsid w:val="0046655D"/>
    <w:rsid w:val="00466A42"/>
    <w:rsid w:val="00467004"/>
    <w:rsid w:val="00467932"/>
    <w:rsid w:val="0047108F"/>
    <w:rsid w:val="0047364D"/>
    <w:rsid w:val="00473CD9"/>
    <w:rsid w:val="0047533C"/>
    <w:rsid w:val="004776A8"/>
    <w:rsid w:val="00480F68"/>
    <w:rsid w:val="00483314"/>
    <w:rsid w:val="004862CD"/>
    <w:rsid w:val="00486D13"/>
    <w:rsid w:val="004873A2"/>
    <w:rsid w:val="00487582"/>
    <w:rsid w:val="004A198D"/>
    <w:rsid w:val="004A2EA3"/>
    <w:rsid w:val="004A3485"/>
    <w:rsid w:val="004A45FB"/>
    <w:rsid w:val="004A56DC"/>
    <w:rsid w:val="004B07B5"/>
    <w:rsid w:val="004B12C0"/>
    <w:rsid w:val="004B1B40"/>
    <w:rsid w:val="004B308E"/>
    <w:rsid w:val="004B43DD"/>
    <w:rsid w:val="004C6CBC"/>
    <w:rsid w:val="004C7F45"/>
    <w:rsid w:val="004D1B17"/>
    <w:rsid w:val="004D31CB"/>
    <w:rsid w:val="004E36D2"/>
    <w:rsid w:val="004E7F81"/>
    <w:rsid w:val="004F1B84"/>
    <w:rsid w:val="004F1E2F"/>
    <w:rsid w:val="004F2F5C"/>
    <w:rsid w:val="004F3320"/>
    <w:rsid w:val="0050126D"/>
    <w:rsid w:val="00501D96"/>
    <w:rsid w:val="005054B3"/>
    <w:rsid w:val="005061BB"/>
    <w:rsid w:val="00510FA5"/>
    <w:rsid w:val="005116F2"/>
    <w:rsid w:val="005120B8"/>
    <w:rsid w:val="00515286"/>
    <w:rsid w:val="00515913"/>
    <w:rsid w:val="00516942"/>
    <w:rsid w:val="00521703"/>
    <w:rsid w:val="005238E7"/>
    <w:rsid w:val="00523BAC"/>
    <w:rsid w:val="00523FED"/>
    <w:rsid w:val="00527A3C"/>
    <w:rsid w:val="00533956"/>
    <w:rsid w:val="00535E2B"/>
    <w:rsid w:val="0054115B"/>
    <w:rsid w:val="005423D2"/>
    <w:rsid w:val="00543324"/>
    <w:rsid w:val="00547287"/>
    <w:rsid w:val="005473B6"/>
    <w:rsid w:val="00553100"/>
    <w:rsid w:val="00553F70"/>
    <w:rsid w:val="005555B5"/>
    <w:rsid w:val="005572E7"/>
    <w:rsid w:val="0056059A"/>
    <w:rsid w:val="0056160E"/>
    <w:rsid w:val="00564EF2"/>
    <w:rsid w:val="00565361"/>
    <w:rsid w:val="005669A2"/>
    <w:rsid w:val="00572A40"/>
    <w:rsid w:val="00573808"/>
    <w:rsid w:val="0057430E"/>
    <w:rsid w:val="00574E43"/>
    <w:rsid w:val="005755D9"/>
    <w:rsid w:val="005773A3"/>
    <w:rsid w:val="005807C1"/>
    <w:rsid w:val="00580ED9"/>
    <w:rsid w:val="00581DD8"/>
    <w:rsid w:val="00583605"/>
    <w:rsid w:val="005866C7"/>
    <w:rsid w:val="00593399"/>
    <w:rsid w:val="0059520E"/>
    <w:rsid w:val="005978EE"/>
    <w:rsid w:val="00597CF9"/>
    <w:rsid w:val="005A14F5"/>
    <w:rsid w:val="005A3EE4"/>
    <w:rsid w:val="005A4AE3"/>
    <w:rsid w:val="005A7B42"/>
    <w:rsid w:val="005B5663"/>
    <w:rsid w:val="005C6E06"/>
    <w:rsid w:val="005D0B91"/>
    <w:rsid w:val="005D2A81"/>
    <w:rsid w:val="005D5758"/>
    <w:rsid w:val="005D5E06"/>
    <w:rsid w:val="005D7229"/>
    <w:rsid w:val="005D7725"/>
    <w:rsid w:val="005D7F13"/>
    <w:rsid w:val="005E2520"/>
    <w:rsid w:val="005E2BFA"/>
    <w:rsid w:val="005E2DBC"/>
    <w:rsid w:val="005E32DE"/>
    <w:rsid w:val="005E3C9F"/>
    <w:rsid w:val="005E4A3F"/>
    <w:rsid w:val="005E5732"/>
    <w:rsid w:val="005E70BC"/>
    <w:rsid w:val="005F1A1B"/>
    <w:rsid w:val="005F2133"/>
    <w:rsid w:val="005F3E24"/>
    <w:rsid w:val="005F4133"/>
    <w:rsid w:val="005F58A7"/>
    <w:rsid w:val="005F797F"/>
    <w:rsid w:val="00600C61"/>
    <w:rsid w:val="00604AE0"/>
    <w:rsid w:val="00604E6E"/>
    <w:rsid w:val="006056D3"/>
    <w:rsid w:val="006067CE"/>
    <w:rsid w:val="006072E4"/>
    <w:rsid w:val="0061692E"/>
    <w:rsid w:val="00617BEE"/>
    <w:rsid w:val="006210C4"/>
    <w:rsid w:val="006224C7"/>
    <w:rsid w:val="006233A2"/>
    <w:rsid w:val="00624398"/>
    <w:rsid w:val="00624DE1"/>
    <w:rsid w:val="00627B2A"/>
    <w:rsid w:val="00627EB1"/>
    <w:rsid w:val="0063026C"/>
    <w:rsid w:val="00631179"/>
    <w:rsid w:val="006321D4"/>
    <w:rsid w:val="00632685"/>
    <w:rsid w:val="00632D01"/>
    <w:rsid w:val="00634DD5"/>
    <w:rsid w:val="00635227"/>
    <w:rsid w:val="006354E8"/>
    <w:rsid w:val="00635760"/>
    <w:rsid w:val="006404FD"/>
    <w:rsid w:val="00641B1B"/>
    <w:rsid w:val="00641F1E"/>
    <w:rsid w:val="006446D3"/>
    <w:rsid w:val="0064626C"/>
    <w:rsid w:val="0064763E"/>
    <w:rsid w:val="00651356"/>
    <w:rsid w:val="00652549"/>
    <w:rsid w:val="0065300A"/>
    <w:rsid w:val="006562C9"/>
    <w:rsid w:val="00656A05"/>
    <w:rsid w:val="0066028C"/>
    <w:rsid w:val="00661E0C"/>
    <w:rsid w:val="00662744"/>
    <w:rsid w:val="00664E2B"/>
    <w:rsid w:val="00665253"/>
    <w:rsid w:val="00665AF4"/>
    <w:rsid w:val="0066653F"/>
    <w:rsid w:val="006706F6"/>
    <w:rsid w:val="00672125"/>
    <w:rsid w:val="00672449"/>
    <w:rsid w:val="00681617"/>
    <w:rsid w:val="00682F58"/>
    <w:rsid w:val="00683D89"/>
    <w:rsid w:val="0068461A"/>
    <w:rsid w:val="00685230"/>
    <w:rsid w:val="006861A5"/>
    <w:rsid w:val="006878E7"/>
    <w:rsid w:val="0069006D"/>
    <w:rsid w:val="00690B17"/>
    <w:rsid w:val="006943EA"/>
    <w:rsid w:val="00696E7D"/>
    <w:rsid w:val="006A009A"/>
    <w:rsid w:val="006A1E9D"/>
    <w:rsid w:val="006A26EC"/>
    <w:rsid w:val="006B2074"/>
    <w:rsid w:val="006B2ED2"/>
    <w:rsid w:val="006C050C"/>
    <w:rsid w:val="006C37E8"/>
    <w:rsid w:val="006C6F5F"/>
    <w:rsid w:val="006C75A3"/>
    <w:rsid w:val="006C7884"/>
    <w:rsid w:val="006D05CA"/>
    <w:rsid w:val="006D3082"/>
    <w:rsid w:val="006E1065"/>
    <w:rsid w:val="006E1480"/>
    <w:rsid w:val="006E1A4D"/>
    <w:rsid w:val="006E490A"/>
    <w:rsid w:val="006E580D"/>
    <w:rsid w:val="006F0D0E"/>
    <w:rsid w:val="006F12B4"/>
    <w:rsid w:val="006F1F3A"/>
    <w:rsid w:val="006F48A5"/>
    <w:rsid w:val="006F6323"/>
    <w:rsid w:val="00704BE8"/>
    <w:rsid w:val="00705788"/>
    <w:rsid w:val="007068F0"/>
    <w:rsid w:val="00706B4D"/>
    <w:rsid w:val="00707ED4"/>
    <w:rsid w:val="007116DF"/>
    <w:rsid w:val="00713E76"/>
    <w:rsid w:val="00714FFF"/>
    <w:rsid w:val="0071652A"/>
    <w:rsid w:val="00716FB7"/>
    <w:rsid w:val="00717C4B"/>
    <w:rsid w:val="0072087E"/>
    <w:rsid w:val="00723777"/>
    <w:rsid w:val="00724EAD"/>
    <w:rsid w:val="0072626B"/>
    <w:rsid w:val="00726C07"/>
    <w:rsid w:val="00730684"/>
    <w:rsid w:val="00731D8E"/>
    <w:rsid w:val="00732711"/>
    <w:rsid w:val="00732FC5"/>
    <w:rsid w:val="0073339F"/>
    <w:rsid w:val="00736D53"/>
    <w:rsid w:val="0074008E"/>
    <w:rsid w:val="0074136C"/>
    <w:rsid w:val="00741FAF"/>
    <w:rsid w:val="00746A57"/>
    <w:rsid w:val="00747997"/>
    <w:rsid w:val="00751902"/>
    <w:rsid w:val="00751E50"/>
    <w:rsid w:val="00752D4A"/>
    <w:rsid w:val="00753968"/>
    <w:rsid w:val="00754C72"/>
    <w:rsid w:val="00754CFE"/>
    <w:rsid w:val="00754F4F"/>
    <w:rsid w:val="0076510C"/>
    <w:rsid w:val="007666AE"/>
    <w:rsid w:val="00777A86"/>
    <w:rsid w:val="00780EE9"/>
    <w:rsid w:val="00782333"/>
    <w:rsid w:val="00783868"/>
    <w:rsid w:val="0079074C"/>
    <w:rsid w:val="00796ED3"/>
    <w:rsid w:val="00797151"/>
    <w:rsid w:val="007A01BB"/>
    <w:rsid w:val="007A3172"/>
    <w:rsid w:val="007A3664"/>
    <w:rsid w:val="007A3E9F"/>
    <w:rsid w:val="007A46FD"/>
    <w:rsid w:val="007B1091"/>
    <w:rsid w:val="007B10B2"/>
    <w:rsid w:val="007B17D1"/>
    <w:rsid w:val="007B1947"/>
    <w:rsid w:val="007B3295"/>
    <w:rsid w:val="007C0A58"/>
    <w:rsid w:val="007C0B3D"/>
    <w:rsid w:val="007C1FD5"/>
    <w:rsid w:val="007C25F2"/>
    <w:rsid w:val="007C4375"/>
    <w:rsid w:val="007C6A12"/>
    <w:rsid w:val="007C7D39"/>
    <w:rsid w:val="007C7E96"/>
    <w:rsid w:val="007D422D"/>
    <w:rsid w:val="007D4B05"/>
    <w:rsid w:val="007D609A"/>
    <w:rsid w:val="007D73F8"/>
    <w:rsid w:val="007E0963"/>
    <w:rsid w:val="007E12E3"/>
    <w:rsid w:val="007E1D02"/>
    <w:rsid w:val="007E1DC2"/>
    <w:rsid w:val="007E26AC"/>
    <w:rsid w:val="007E44C0"/>
    <w:rsid w:val="007E4E03"/>
    <w:rsid w:val="007E5E80"/>
    <w:rsid w:val="007E61D0"/>
    <w:rsid w:val="007E69A2"/>
    <w:rsid w:val="007E71F9"/>
    <w:rsid w:val="007E7AEC"/>
    <w:rsid w:val="007F33F0"/>
    <w:rsid w:val="007F3BBC"/>
    <w:rsid w:val="008029BA"/>
    <w:rsid w:val="008051B2"/>
    <w:rsid w:val="0080751E"/>
    <w:rsid w:val="00807FE3"/>
    <w:rsid w:val="008104A4"/>
    <w:rsid w:val="00810749"/>
    <w:rsid w:val="0081372D"/>
    <w:rsid w:val="00813EA5"/>
    <w:rsid w:val="00815590"/>
    <w:rsid w:val="008159D2"/>
    <w:rsid w:val="0081663C"/>
    <w:rsid w:val="00816FC9"/>
    <w:rsid w:val="00820094"/>
    <w:rsid w:val="00820313"/>
    <w:rsid w:val="0082432E"/>
    <w:rsid w:val="00824D2F"/>
    <w:rsid w:val="00824E1F"/>
    <w:rsid w:val="00826B74"/>
    <w:rsid w:val="00827085"/>
    <w:rsid w:val="008304D3"/>
    <w:rsid w:val="00830C26"/>
    <w:rsid w:val="00830F2B"/>
    <w:rsid w:val="00836B0F"/>
    <w:rsid w:val="0083735F"/>
    <w:rsid w:val="00843831"/>
    <w:rsid w:val="008442BD"/>
    <w:rsid w:val="008460D9"/>
    <w:rsid w:val="00847A48"/>
    <w:rsid w:val="008506FA"/>
    <w:rsid w:val="008523D5"/>
    <w:rsid w:val="00852A0D"/>
    <w:rsid w:val="00853233"/>
    <w:rsid w:val="00855D2D"/>
    <w:rsid w:val="00856341"/>
    <w:rsid w:val="00857378"/>
    <w:rsid w:val="008575EB"/>
    <w:rsid w:val="008618EA"/>
    <w:rsid w:val="00862736"/>
    <w:rsid w:val="00863ACC"/>
    <w:rsid w:val="008643F1"/>
    <w:rsid w:val="00866BC7"/>
    <w:rsid w:val="00867E9B"/>
    <w:rsid w:val="0087004C"/>
    <w:rsid w:val="00873702"/>
    <w:rsid w:val="00876911"/>
    <w:rsid w:val="00877063"/>
    <w:rsid w:val="008774DA"/>
    <w:rsid w:val="00877EF4"/>
    <w:rsid w:val="00881907"/>
    <w:rsid w:val="00881AEA"/>
    <w:rsid w:val="00881B6D"/>
    <w:rsid w:val="00882A79"/>
    <w:rsid w:val="00884D18"/>
    <w:rsid w:val="00885FD8"/>
    <w:rsid w:val="0088621B"/>
    <w:rsid w:val="00890093"/>
    <w:rsid w:val="0089052C"/>
    <w:rsid w:val="00891220"/>
    <w:rsid w:val="00893BF4"/>
    <w:rsid w:val="008951C3"/>
    <w:rsid w:val="008A0795"/>
    <w:rsid w:val="008A396A"/>
    <w:rsid w:val="008A5139"/>
    <w:rsid w:val="008A6068"/>
    <w:rsid w:val="008B0D7D"/>
    <w:rsid w:val="008B440B"/>
    <w:rsid w:val="008B4D29"/>
    <w:rsid w:val="008B642E"/>
    <w:rsid w:val="008B7726"/>
    <w:rsid w:val="008B7E40"/>
    <w:rsid w:val="008C331B"/>
    <w:rsid w:val="008C4760"/>
    <w:rsid w:val="008C4957"/>
    <w:rsid w:val="008C7A11"/>
    <w:rsid w:val="008D2B0A"/>
    <w:rsid w:val="008D2C67"/>
    <w:rsid w:val="008D397B"/>
    <w:rsid w:val="008D3BF5"/>
    <w:rsid w:val="008D50C9"/>
    <w:rsid w:val="008D6C10"/>
    <w:rsid w:val="008E0A5D"/>
    <w:rsid w:val="008E134B"/>
    <w:rsid w:val="008E16D0"/>
    <w:rsid w:val="008E3AA4"/>
    <w:rsid w:val="008E4A5B"/>
    <w:rsid w:val="008E5ADA"/>
    <w:rsid w:val="008E71E6"/>
    <w:rsid w:val="008E7DBD"/>
    <w:rsid w:val="008E7F4B"/>
    <w:rsid w:val="008F3332"/>
    <w:rsid w:val="008F7415"/>
    <w:rsid w:val="00900202"/>
    <w:rsid w:val="00900B6A"/>
    <w:rsid w:val="00900C8B"/>
    <w:rsid w:val="0090170B"/>
    <w:rsid w:val="009029BB"/>
    <w:rsid w:val="009059C3"/>
    <w:rsid w:val="0090795D"/>
    <w:rsid w:val="00907EE4"/>
    <w:rsid w:val="009128C5"/>
    <w:rsid w:val="0091303C"/>
    <w:rsid w:val="00916D2C"/>
    <w:rsid w:val="00916ECC"/>
    <w:rsid w:val="00917369"/>
    <w:rsid w:val="00920EFC"/>
    <w:rsid w:val="00923218"/>
    <w:rsid w:val="00924C55"/>
    <w:rsid w:val="00927A47"/>
    <w:rsid w:val="00930EE4"/>
    <w:rsid w:val="009330FF"/>
    <w:rsid w:val="009341BC"/>
    <w:rsid w:val="00942FAC"/>
    <w:rsid w:val="009452EB"/>
    <w:rsid w:val="009453CF"/>
    <w:rsid w:val="00952FCC"/>
    <w:rsid w:val="00953554"/>
    <w:rsid w:val="0095364E"/>
    <w:rsid w:val="009551D5"/>
    <w:rsid w:val="00956C04"/>
    <w:rsid w:val="00956EFD"/>
    <w:rsid w:val="00957A50"/>
    <w:rsid w:val="0096009C"/>
    <w:rsid w:val="00961EC5"/>
    <w:rsid w:val="00964D7F"/>
    <w:rsid w:val="009651DF"/>
    <w:rsid w:val="00965BA6"/>
    <w:rsid w:val="00966F95"/>
    <w:rsid w:val="00967A4F"/>
    <w:rsid w:val="009709E7"/>
    <w:rsid w:val="00971C6C"/>
    <w:rsid w:val="00976CA1"/>
    <w:rsid w:val="0098466D"/>
    <w:rsid w:val="0098687B"/>
    <w:rsid w:val="00990179"/>
    <w:rsid w:val="00990E13"/>
    <w:rsid w:val="0099139C"/>
    <w:rsid w:val="00993D81"/>
    <w:rsid w:val="0099700B"/>
    <w:rsid w:val="009A3583"/>
    <w:rsid w:val="009A3678"/>
    <w:rsid w:val="009A5E9F"/>
    <w:rsid w:val="009B0010"/>
    <w:rsid w:val="009B09AD"/>
    <w:rsid w:val="009B44B8"/>
    <w:rsid w:val="009B516C"/>
    <w:rsid w:val="009C03A9"/>
    <w:rsid w:val="009C09A5"/>
    <w:rsid w:val="009C1E2D"/>
    <w:rsid w:val="009C3AD8"/>
    <w:rsid w:val="009C40A6"/>
    <w:rsid w:val="009C6EC8"/>
    <w:rsid w:val="009C6F9D"/>
    <w:rsid w:val="009D5DBB"/>
    <w:rsid w:val="009D735A"/>
    <w:rsid w:val="009E1AFE"/>
    <w:rsid w:val="009E366E"/>
    <w:rsid w:val="009E39CC"/>
    <w:rsid w:val="009E426B"/>
    <w:rsid w:val="009E4769"/>
    <w:rsid w:val="009E5548"/>
    <w:rsid w:val="009E5EB3"/>
    <w:rsid w:val="009F35AC"/>
    <w:rsid w:val="009F53A9"/>
    <w:rsid w:val="009F5BA7"/>
    <w:rsid w:val="009F6DBA"/>
    <w:rsid w:val="009F7F82"/>
    <w:rsid w:val="00A007FD"/>
    <w:rsid w:val="00A020E0"/>
    <w:rsid w:val="00A103A8"/>
    <w:rsid w:val="00A1302B"/>
    <w:rsid w:val="00A13459"/>
    <w:rsid w:val="00A256C5"/>
    <w:rsid w:val="00A30B97"/>
    <w:rsid w:val="00A31F5D"/>
    <w:rsid w:val="00A33F65"/>
    <w:rsid w:val="00A3491A"/>
    <w:rsid w:val="00A360B8"/>
    <w:rsid w:val="00A37CC7"/>
    <w:rsid w:val="00A406CA"/>
    <w:rsid w:val="00A426D3"/>
    <w:rsid w:val="00A4534A"/>
    <w:rsid w:val="00A500D0"/>
    <w:rsid w:val="00A50D94"/>
    <w:rsid w:val="00A50FC4"/>
    <w:rsid w:val="00A51CD5"/>
    <w:rsid w:val="00A54D71"/>
    <w:rsid w:val="00A63C1E"/>
    <w:rsid w:val="00A677A2"/>
    <w:rsid w:val="00A71CFD"/>
    <w:rsid w:val="00A72264"/>
    <w:rsid w:val="00A72450"/>
    <w:rsid w:val="00A73656"/>
    <w:rsid w:val="00A746F7"/>
    <w:rsid w:val="00A8053E"/>
    <w:rsid w:val="00A80BDB"/>
    <w:rsid w:val="00A914D9"/>
    <w:rsid w:val="00A9178C"/>
    <w:rsid w:val="00A93F16"/>
    <w:rsid w:val="00A945E5"/>
    <w:rsid w:val="00A952C1"/>
    <w:rsid w:val="00A97E57"/>
    <w:rsid w:val="00AA1EC6"/>
    <w:rsid w:val="00AA3787"/>
    <w:rsid w:val="00AA3B19"/>
    <w:rsid w:val="00AA4C45"/>
    <w:rsid w:val="00AA515F"/>
    <w:rsid w:val="00AA633B"/>
    <w:rsid w:val="00AB06C7"/>
    <w:rsid w:val="00AB0C54"/>
    <w:rsid w:val="00AB1137"/>
    <w:rsid w:val="00AB224D"/>
    <w:rsid w:val="00AB2A14"/>
    <w:rsid w:val="00AB61EF"/>
    <w:rsid w:val="00AC1DC8"/>
    <w:rsid w:val="00AC3533"/>
    <w:rsid w:val="00AC446B"/>
    <w:rsid w:val="00AC5C16"/>
    <w:rsid w:val="00AD1A28"/>
    <w:rsid w:val="00AD3C74"/>
    <w:rsid w:val="00AD3C76"/>
    <w:rsid w:val="00AD4AFC"/>
    <w:rsid w:val="00AD4B5F"/>
    <w:rsid w:val="00AD553B"/>
    <w:rsid w:val="00AD6986"/>
    <w:rsid w:val="00AD76EC"/>
    <w:rsid w:val="00AE19F0"/>
    <w:rsid w:val="00AE1C36"/>
    <w:rsid w:val="00AE2356"/>
    <w:rsid w:val="00AE3842"/>
    <w:rsid w:val="00AE4698"/>
    <w:rsid w:val="00AE5782"/>
    <w:rsid w:val="00AE77B8"/>
    <w:rsid w:val="00AF3FA7"/>
    <w:rsid w:val="00AF412F"/>
    <w:rsid w:val="00AF5804"/>
    <w:rsid w:val="00AF6F20"/>
    <w:rsid w:val="00B03487"/>
    <w:rsid w:val="00B043A4"/>
    <w:rsid w:val="00B05D9A"/>
    <w:rsid w:val="00B07765"/>
    <w:rsid w:val="00B129FD"/>
    <w:rsid w:val="00B13611"/>
    <w:rsid w:val="00B14471"/>
    <w:rsid w:val="00B243F3"/>
    <w:rsid w:val="00B26B87"/>
    <w:rsid w:val="00B26B97"/>
    <w:rsid w:val="00B305F4"/>
    <w:rsid w:val="00B3251F"/>
    <w:rsid w:val="00B35176"/>
    <w:rsid w:val="00B40C88"/>
    <w:rsid w:val="00B4134D"/>
    <w:rsid w:val="00B41F62"/>
    <w:rsid w:val="00B45F85"/>
    <w:rsid w:val="00B47249"/>
    <w:rsid w:val="00B51A34"/>
    <w:rsid w:val="00B52DA3"/>
    <w:rsid w:val="00B574AC"/>
    <w:rsid w:val="00B61115"/>
    <w:rsid w:val="00B6166F"/>
    <w:rsid w:val="00B6407E"/>
    <w:rsid w:val="00B645D6"/>
    <w:rsid w:val="00B720C8"/>
    <w:rsid w:val="00B73B26"/>
    <w:rsid w:val="00B80CA9"/>
    <w:rsid w:val="00B8596C"/>
    <w:rsid w:val="00B86085"/>
    <w:rsid w:val="00B86D02"/>
    <w:rsid w:val="00B87DC2"/>
    <w:rsid w:val="00B903B9"/>
    <w:rsid w:val="00B9043E"/>
    <w:rsid w:val="00B91644"/>
    <w:rsid w:val="00B9399B"/>
    <w:rsid w:val="00B93E12"/>
    <w:rsid w:val="00B943CD"/>
    <w:rsid w:val="00B971C0"/>
    <w:rsid w:val="00B97A0F"/>
    <w:rsid w:val="00BA05A2"/>
    <w:rsid w:val="00BA0E1C"/>
    <w:rsid w:val="00BA2CE5"/>
    <w:rsid w:val="00BA3EB2"/>
    <w:rsid w:val="00BA5D1A"/>
    <w:rsid w:val="00BA66D9"/>
    <w:rsid w:val="00BA7257"/>
    <w:rsid w:val="00BB19DC"/>
    <w:rsid w:val="00BB2502"/>
    <w:rsid w:val="00BB3D84"/>
    <w:rsid w:val="00BB4307"/>
    <w:rsid w:val="00BB46B3"/>
    <w:rsid w:val="00BB48BC"/>
    <w:rsid w:val="00BB73BC"/>
    <w:rsid w:val="00BC0485"/>
    <w:rsid w:val="00BC0A7B"/>
    <w:rsid w:val="00BC1B7F"/>
    <w:rsid w:val="00BC3BE8"/>
    <w:rsid w:val="00BC79AD"/>
    <w:rsid w:val="00BD0EFE"/>
    <w:rsid w:val="00BD5BBC"/>
    <w:rsid w:val="00BD6100"/>
    <w:rsid w:val="00BD64C1"/>
    <w:rsid w:val="00BD7CD3"/>
    <w:rsid w:val="00BD7DAE"/>
    <w:rsid w:val="00BE2DDB"/>
    <w:rsid w:val="00BE3026"/>
    <w:rsid w:val="00BE3673"/>
    <w:rsid w:val="00BE4F8E"/>
    <w:rsid w:val="00BE65AA"/>
    <w:rsid w:val="00BF2100"/>
    <w:rsid w:val="00BF21F7"/>
    <w:rsid w:val="00BF3298"/>
    <w:rsid w:val="00BF3F09"/>
    <w:rsid w:val="00BF54CF"/>
    <w:rsid w:val="00BF653A"/>
    <w:rsid w:val="00BF6F41"/>
    <w:rsid w:val="00C000DF"/>
    <w:rsid w:val="00C03FFB"/>
    <w:rsid w:val="00C10854"/>
    <w:rsid w:val="00C10B62"/>
    <w:rsid w:val="00C10E6D"/>
    <w:rsid w:val="00C12524"/>
    <w:rsid w:val="00C1323B"/>
    <w:rsid w:val="00C14883"/>
    <w:rsid w:val="00C15E03"/>
    <w:rsid w:val="00C172CD"/>
    <w:rsid w:val="00C21747"/>
    <w:rsid w:val="00C22FE0"/>
    <w:rsid w:val="00C23181"/>
    <w:rsid w:val="00C23E5B"/>
    <w:rsid w:val="00C23E7F"/>
    <w:rsid w:val="00C244C4"/>
    <w:rsid w:val="00C313D3"/>
    <w:rsid w:val="00C316C5"/>
    <w:rsid w:val="00C32538"/>
    <w:rsid w:val="00C33A39"/>
    <w:rsid w:val="00C33CF9"/>
    <w:rsid w:val="00C361D7"/>
    <w:rsid w:val="00C36CB7"/>
    <w:rsid w:val="00C4055E"/>
    <w:rsid w:val="00C40685"/>
    <w:rsid w:val="00C41F63"/>
    <w:rsid w:val="00C42324"/>
    <w:rsid w:val="00C46BEB"/>
    <w:rsid w:val="00C47FCC"/>
    <w:rsid w:val="00C55FB2"/>
    <w:rsid w:val="00C5736A"/>
    <w:rsid w:val="00C6029D"/>
    <w:rsid w:val="00C60744"/>
    <w:rsid w:val="00C61E4F"/>
    <w:rsid w:val="00C62926"/>
    <w:rsid w:val="00C63ECC"/>
    <w:rsid w:val="00C66FD6"/>
    <w:rsid w:val="00C703A0"/>
    <w:rsid w:val="00C71E54"/>
    <w:rsid w:val="00C737C6"/>
    <w:rsid w:val="00C7531B"/>
    <w:rsid w:val="00C76BBA"/>
    <w:rsid w:val="00C76C53"/>
    <w:rsid w:val="00C76DF9"/>
    <w:rsid w:val="00C8051D"/>
    <w:rsid w:val="00C82980"/>
    <w:rsid w:val="00C82B87"/>
    <w:rsid w:val="00C909A8"/>
    <w:rsid w:val="00C916C9"/>
    <w:rsid w:val="00CA1BFB"/>
    <w:rsid w:val="00CA3FB8"/>
    <w:rsid w:val="00CA46E9"/>
    <w:rsid w:val="00CA4ED3"/>
    <w:rsid w:val="00CA4F8C"/>
    <w:rsid w:val="00CB1D32"/>
    <w:rsid w:val="00CB330A"/>
    <w:rsid w:val="00CB7B15"/>
    <w:rsid w:val="00CC6E7C"/>
    <w:rsid w:val="00CD0054"/>
    <w:rsid w:val="00CD1A8A"/>
    <w:rsid w:val="00CD4FBA"/>
    <w:rsid w:val="00CD5B3A"/>
    <w:rsid w:val="00CD5CBA"/>
    <w:rsid w:val="00CD6435"/>
    <w:rsid w:val="00CD7FF2"/>
    <w:rsid w:val="00CE1214"/>
    <w:rsid w:val="00CE13EC"/>
    <w:rsid w:val="00CE3C80"/>
    <w:rsid w:val="00CE4379"/>
    <w:rsid w:val="00CE4ACF"/>
    <w:rsid w:val="00CE4ADF"/>
    <w:rsid w:val="00CE6FED"/>
    <w:rsid w:val="00CF4168"/>
    <w:rsid w:val="00CF4430"/>
    <w:rsid w:val="00CF57F0"/>
    <w:rsid w:val="00CF676E"/>
    <w:rsid w:val="00CF79D5"/>
    <w:rsid w:val="00CF79D8"/>
    <w:rsid w:val="00D003EB"/>
    <w:rsid w:val="00D026CF"/>
    <w:rsid w:val="00D02D34"/>
    <w:rsid w:val="00D04476"/>
    <w:rsid w:val="00D05449"/>
    <w:rsid w:val="00D055C9"/>
    <w:rsid w:val="00D07A88"/>
    <w:rsid w:val="00D07F0F"/>
    <w:rsid w:val="00D10446"/>
    <w:rsid w:val="00D105AA"/>
    <w:rsid w:val="00D11D4D"/>
    <w:rsid w:val="00D13F08"/>
    <w:rsid w:val="00D240EC"/>
    <w:rsid w:val="00D266F4"/>
    <w:rsid w:val="00D26877"/>
    <w:rsid w:val="00D30430"/>
    <w:rsid w:val="00D31D50"/>
    <w:rsid w:val="00D33E09"/>
    <w:rsid w:val="00D35D2C"/>
    <w:rsid w:val="00D3685F"/>
    <w:rsid w:val="00D36E0E"/>
    <w:rsid w:val="00D40461"/>
    <w:rsid w:val="00D42C5E"/>
    <w:rsid w:val="00D43478"/>
    <w:rsid w:val="00D444AC"/>
    <w:rsid w:val="00D459E2"/>
    <w:rsid w:val="00D47CA7"/>
    <w:rsid w:val="00D50E4C"/>
    <w:rsid w:val="00D5501F"/>
    <w:rsid w:val="00D60BF0"/>
    <w:rsid w:val="00D619EE"/>
    <w:rsid w:val="00D63108"/>
    <w:rsid w:val="00D672F5"/>
    <w:rsid w:val="00D67CF4"/>
    <w:rsid w:val="00D70459"/>
    <w:rsid w:val="00D70C5D"/>
    <w:rsid w:val="00D71888"/>
    <w:rsid w:val="00D73EBC"/>
    <w:rsid w:val="00D81FB5"/>
    <w:rsid w:val="00D82019"/>
    <w:rsid w:val="00D83ECD"/>
    <w:rsid w:val="00D854AF"/>
    <w:rsid w:val="00D873A8"/>
    <w:rsid w:val="00D878B5"/>
    <w:rsid w:val="00D904EC"/>
    <w:rsid w:val="00D90E63"/>
    <w:rsid w:val="00D91682"/>
    <w:rsid w:val="00D9173D"/>
    <w:rsid w:val="00D91C9E"/>
    <w:rsid w:val="00D93354"/>
    <w:rsid w:val="00D939E5"/>
    <w:rsid w:val="00D94A04"/>
    <w:rsid w:val="00D954F0"/>
    <w:rsid w:val="00D96B7F"/>
    <w:rsid w:val="00D96D9B"/>
    <w:rsid w:val="00DA2CB2"/>
    <w:rsid w:val="00DA3E99"/>
    <w:rsid w:val="00DB02DC"/>
    <w:rsid w:val="00DB6F43"/>
    <w:rsid w:val="00DB732D"/>
    <w:rsid w:val="00DC1033"/>
    <w:rsid w:val="00DC1EE3"/>
    <w:rsid w:val="00DC2D9F"/>
    <w:rsid w:val="00DC3C44"/>
    <w:rsid w:val="00DC4B14"/>
    <w:rsid w:val="00DC4F08"/>
    <w:rsid w:val="00DC62AA"/>
    <w:rsid w:val="00DC63B2"/>
    <w:rsid w:val="00DC6F0F"/>
    <w:rsid w:val="00DD0417"/>
    <w:rsid w:val="00DD1845"/>
    <w:rsid w:val="00DD3B6D"/>
    <w:rsid w:val="00DD519C"/>
    <w:rsid w:val="00DD58CC"/>
    <w:rsid w:val="00DD7AF6"/>
    <w:rsid w:val="00DE0252"/>
    <w:rsid w:val="00DE051C"/>
    <w:rsid w:val="00DE1B3B"/>
    <w:rsid w:val="00DE6471"/>
    <w:rsid w:val="00DE71C5"/>
    <w:rsid w:val="00DE7743"/>
    <w:rsid w:val="00DE7851"/>
    <w:rsid w:val="00DF18AD"/>
    <w:rsid w:val="00DF7327"/>
    <w:rsid w:val="00E032F4"/>
    <w:rsid w:val="00E049E7"/>
    <w:rsid w:val="00E1021F"/>
    <w:rsid w:val="00E1390A"/>
    <w:rsid w:val="00E15D65"/>
    <w:rsid w:val="00E1600F"/>
    <w:rsid w:val="00E167D3"/>
    <w:rsid w:val="00E16BF5"/>
    <w:rsid w:val="00E17FAC"/>
    <w:rsid w:val="00E22C10"/>
    <w:rsid w:val="00E22ED0"/>
    <w:rsid w:val="00E23802"/>
    <w:rsid w:val="00E23B3F"/>
    <w:rsid w:val="00E25BEA"/>
    <w:rsid w:val="00E2643A"/>
    <w:rsid w:val="00E278FD"/>
    <w:rsid w:val="00E325AE"/>
    <w:rsid w:val="00E35373"/>
    <w:rsid w:val="00E35881"/>
    <w:rsid w:val="00E37C70"/>
    <w:rsid w:val="00E37CBC"/>
    <w:rsid w:val="00E403F5"/>
    <w:rsid w:val="00E4043C"/>
    <w:rsid w:val="00E4135F"/>
    <w:rsid w:val="00E4345B"/>
    <w:rsid w:val="00E4547B"/>
    <w:rsid w:val="00E46FB7"/>
    <w:rsid w:val="00E51D47"/>
    <w:rsid w:val="00E5415E"/>
    <w:rsid w:val="00E563CF"/>
    <w:rsid w:val="00E56A6A"/>
    <w:rsid w:val="00E56B00"/>
    <w:rsid w:val="00E56EF6"/>
    <w:rsid w:val="00E61AC9"/>
    <w:rsid w:val="00E6242F"/>
    <w:rsid w:val="00E67636"/>
    <w:rsid w:val="00E6780E"/>
    <w:rsid w:val="00E7000D"/>
    <w:rsid w:val="00E70BDB"/>
    <w:rsid w:val="00E71C66"/>
    <w:rsid w:val="00E7234B"/>
    <w:rsid w:val="00E75347"/>
    <w:rsid w:val="00E75CD4"/>
    <w:rsid w:val="00E76413"/>
    <w:rsid w:val="00E76D69"/>
    <w:rsid w:val="00E7700D"/>
    <w:rsid w:val="00E77E16"/>
    <w:rsid w:val="00E77EF6"/>
    <w:rsid w:val="00E813BB"/>
    <w:rsid w:val="00E81F60"/>
    <w:rsid w:val="00E85ECC"/>
    <w:rsid w:val="00E86C79"/>
    <w:rsid w:val="00E872B2"/>
    <w:rsid w:val="00E9146B"/>
    <w:rsid w:val="00E91C7A"/>
    <w:rsid w:val="00E92BA2"/>
    <w:rsid w:val="00E95637"/>
    <w:rsid w:val="00E96116"/>
    <w:rsid w:val="00E964EB"/>
    <w:rsid w:val="00E971C8"/>
    <w:rsid w:val="00E97297"/>
    <w:rsid w:val="00E9799D"/>
    <w:rsid w:val="00E97E9F"/>
    <w:rsid w:val="00EA02A2"/>
    <w:rsid w:val="00EA151C"/>
    <w:rsid w:val="00EA1BC1"/>
    <w:rsid w:val="00EA2997"/>
    <w:rsid w:val="00EA2EB5"/>
    <w:rsid w:val="00EA7A45"/>
    <w:rsid w:val="00EB1757"/>
    <w:rsid w:val="00EB3392"/>
    <w:rsid w:val="00EB7705"/>
    <w:rsid w:val="00EC39E8"/>
    <w:rsid w:val="00EC675B"/>
    <w:rsid w:val="00ED082D"/>
    <w:rsid w:val="00ED0FF3"/>
    <w:rsid w:val="00ED1831"/>
    <w:rsid w:val="00ED1DB6"/>
    <w:rsid w:val="00ED288F"/>
    <w:rsid w:val="00ED3479"/>
    <w:rsid w:val="00ED47E2"/>
    <w:rsid w:val="00ED4C7B"/>
    <w:rsid w:val="00EE08B3"/>
    <w:rsid w:val="00EE3DE0"/>
    <w:rsid w:val="00EE3FF0"/>
    <w:rsid w:val="00EF2742"/>
    <w:rsid w:val="00EF5307"/>
    <w:rsid w:val="00EF6550"/>
    <w:rsid w:val="00F0235B"/>
    <w:rsid w:val="00F02AFC"/>
    <w:rsid w:val="00F0671C"/>
    <w:rsid w:val="00F07197"/>
    <w:rsid w:val="00F109C5"/>
    <w:rsid w:val="00F12101"/>
    <w:rsid w:val="00F15EFC"/>
    <w:rsid w:val="00F16A22"/>
    <w:rsid w:val="00F22D7D"/>
    <w:rsid w:val="00F245A5"/>
    <w:rsid w:val="00F263A1"/>
    <w:rsid w:val="00F27075"/>
    <w:rsid w:val="00F27104"/>
    <w:rsid w:val="00F2732F"/>
    <w:rsid w:val="00F32747"/>
    <w:rsid w:val="00F408F3"/>
    <w:rsid w:val="00F40B77"/>
    <w:rsid w:val="00F41889"/>
    <w:rsid w:val="00F4201C"/>
    <w:rsid w:val="00F47570"/>
    <w:rsid w:val="00F57E5E"/>
    <w:rsid w:val="00F61CAD"/>
    <w:rsid w:val="00F62011"/>
    <w:rsid w:val="00F63102"/>
    <w:rsid w:val="00F64044"/>
    <w:rsid w:val="00F648E2"/>
    <w:rsid w:val="00F702CD"/>
    <w:rsid w:val="00F71AC6"/>
    <w:rsid w:val="00F722F7"/>
    <w:rsid w:val="00F74479"/>
    <w:rsid w:val="00F74F0C"/>
    <w:rsid w:val="00F77800"/>
    <w:rsid w:val="00F8190D"/>
    <w:rsid w:val="00F8402D"/>
    <w:rsid w:val="00F84AF4"/>
    <w:rsid w:val="00F90812"/>
    <w:rsid w:val="00F9440A"/>
    <w:rsid w:val="00F95561"/>
    <w:rsid w:val="00F95EF5"/>
    <w:rsid w:val="00FA10EC"/>
    <w:rsid w:val="00FA2F73"/>
    <w:rsid w:val="00FA3E17"/>
    <w:rsid w:val="00FA568E"/>
    <w:rsid w:val="00FA6CBB"/>
    <w:rsid w:val="00FA7814"/>
    <w:rsid w:val="00FB00D0"/>
    <w:rsid w:val="00FB293D"/>
    <w:rsid w:val="00FB44AD"/>
    <w:rsid w:val="00FB5E10"/>
    <w:rsid w:val="00FB60ED"/>
    <w:rsid w:val="00FC04CC"/>
    <w:rsid w:val="00FC2AE8"/>
    <w:rsid w:val="00FC6897"/>
    <w:rsid w:val="00FC7A4D"/>
    <w:rsid w:val="00FC7CE9"/>
    <w:rsid w:val="00FD0A52"/>
    <w:rsid w:val="00FD144D"/>
    <w:rsid w:val="00FD3D21"/>
    <w:rsid w:val="00FD6BC8"/>
    <w:rsid w:val="00FE78A9"/>
    <w:rsid w:val="00FF3311"/>
    <w:rsid w:val="00FF57B3"/>
    <w:rsid w:val="00FF5CF4"/>
    <w:rsid w:val="00FF777D"/>
    <w:rsid w:val="011E1117"/>
    <w:rsid w:val="015520E9"/>
    <w:rsid w:val="0157185C"/>
    <w:rsid w:val="01782BA5"/>
    <w:rsid w:val="0207164C"/>
    <w:rsid w:val="02195793"/>
    <w:rsid w:val="026C09E6"/>
    <w:rsid w:val="02813819"/>
    <w:rsid w:val="02A0278A"/>
    <w:rsid w:val="02AA7461"/>
    <w:rsid w:val="02B1158C"/>
    <w:rsid w:val="02D95456"/>
    <w:rsid w:val="03132A19"/>
    <w:rsid w:val="031F7988"/>
    <w:rsid w:val="032B77DD"/>
    <w:rsid w:val="0372003F"/>
    <w:rsid w:val="037C1867"/>
    <w:rsid w:val="03D14D02"/>
    <w:rsid w:val="04220AA1"/>
    <w:rsid w:val="04246D0A"/>
    <w:rsid w:val="044D17BB"/>
    <w:rsid w:val="0454427E"/>
    <w:rsid w:val="049401CB"/>
    <w:rsid w:val="04A93E26"/>
    <w:rsid w:val="04C22257"/>
    <w:rsid w:val="04C46486"/>
    <w:rsid w:val="0502664D"/>
    <w:rsid w:val="0506175A"/>
    <w:rsid w:val="05407C59"/>
    <w:rsid w:val="056617C3"/>
    <w:rsid w:val="05865EFF"/>
    <w:rsid w:val="05C179ED"/>
    <w:rsid w:val="05E77D5A"/>
    <w:rsid w:val="05F41DE8"/>
    <w:rsid w:val="063F49CB"/>
    <w:rsid w:val="06570EBA"/>
    <w:rsid w:val="06672A4D"/>
    <w:rsid w:val="068613A3"/>
    <w:rsid w:val="06B50CEF"/>
    <w:rsid w:val="06CE271E"/>
    <w:rsid w:val="06E56B3A"/>
    <w:rsid w:val="07030A5C"/>
    <w:rsid w:val="0718584E"/>
    <w:rsid w:val="0786200B"/>
    <w:rsid w:val="078F40F9"/>
    <w:rsid w:val="07BB1CCE"/>
    <w:rsid w:val="07DF237B"/>
    <w:rsid w:val="083C50E8"/>
    <w:rsid w:val="083E682A"/>
    <w:rsid w:val="084E6B9A"/>
    <w:rsid w:val="086B4854"/>
    <w:rsid w:val="089409F7"/>
    <w:rsid w:val="08987C8E"/>
    <w:rsid w:val="08B85059"/>
    <w:rsid w:val="08C91029"/>
    <w:rsid w:val="08EB4079"/>
    <w:rsid w:val="092F6B0D"/>
    <w:rsid w:val="09FC13DF"/>
    <w:rsid w:val="0A1616D6"/>
    <w:rsid w:val="0A1E2460"/>
    <w:rsid w:val="0A2E2168"/>
    <w:rsid w:val="0A4D29E7"/>
    <w:rsid w:val="0A5A3D88"/>
    <w:rsid w:val="0A6306C8"/>
    <w:rsid w:val="0A6C35BD"/>
    <w:rsid w:val="0A8A05D4"/>
    <w:rsid w:val="0AA14976"/>
    <w:rsid w:val="0AA67517"/>
    <w:rsid w:val="0AB40A17"/>
    <w:rsid w:val="0AE96816"/>
    <w:rsid w:val="0AF26387"/>
    <w:rsid w:val="0B0C11D9"/>
    <w:rsid w:val="0B310C47"/>
    <w:rsid w:val="0B5D73FF"/>
    <w:rsid w:val="0B8A426A"/>
    <w:rsid w:val="0B927BB5"/>
    <w:rsid w:val="0C39175A"/>
    <w:rsid w:val="0CC30A45"/>
    <w:rsid w:val="0CE15035"/>
    <w:rsid w:val="0CE941A4"/>
    <w:rsid w:val="0CEF03B4"/>
    <w:rsid w:val="0D021AEC"/>
    <w:rsid w:val="0D093450"/>
    <w:rsid w:val="0D0C12C4"/>
    <w:rsid w:val="0D1977C6"/>
    <w:rsid w:val="0D593118"/>
    <w:rsid w:val="0DC22553"/>
    <w:rsid w:val="0E084127"/>
    <w:rsid w:val="0E29330A"/>
    <w:rsid w:val="0E2C04D3"/>
    <w:rsid w:val="0E2D6E2C"/>
    <w:rsid w:val="0E3B64B7"/>
    <w:rsid w:val="0E5935F5"/>
    <w:rsid w:val="0E757123"/>
    <w:rsid w:val="0E8549E0"/>
    <w:rsid w:val="0E930776"/>
    <w:rsid w:val="0EB45739"/>
    <w:rsid w:val="0EB47113"/>
    <w:rsid w:val="0EB86B4F"/>
    <w:rsid w:val="0EC04A60"/>
    <w:rsid w:val="0F1F704B"/>
    <w:rsid w:val="0F7C26A9"/>
    <w:rsid w:val="0FA06037"/>
    <w:rsid w:val="0FA46E13"/>
    <w:rsid w:val="0FC827B7"/>
    <w:rsid w:val="0FD54AFD"/>
    <w:rsid w:val="1001715B"/>
    <w:rsid w:val="100710ED"/>
    <w:rsid w:val="10321434"/>
    <w:rsid w:val="10373ED8"/>
    <w:rsid w:val="10523AD6"/>
    <w:rsid w:val="10726EA5"/>
    <w:rsid w:val="107B759E"/>
    <w:rsid w:val="10C6218B"/>
    <w:rsid w:val="10E34A4D"/>
    <w:rsid w:val="10F17F03"/>
    <w:rsid w:val="11290662"/>
    <w:rsid w:val="113A4C96"/>
    <w:rsid w:val="114D63C8"/>
    <w:rsid w:val="11501CFE"/>
    <w:rsid w:val="116041E5"/>
    <w:rsid w:val="116553C9"/>
    <w:rsid w:val="119F5E29"/>
    <w:rsid w:val="11A87FF0"/>
    <w:rsid w:val="11E85A7E"/>
    <w:rsid w:val="11ED40CE"/>
    <w:rsid w:val="11F17D45"/>
    <w:rsid w:val="12132A93"/>
    <w:rsid w:val="12235263"/>
    <w:rsid w:val="12343222"/>
    <w:rsid w:val="123C749B"/>
    <w:rsid w:val="12A04EAA"/>
    <w:rsid w:val="12B978AD"/>
    <w:rsid w:val="12E15560"/>
    <w:rsid w:val="12E60F1E"/>
    <w:rsid w:val="13B82472"/>
    <w:rsid w:val="13F04E92"/>
    <w:rsid w:val="14330662"/>
    <w:rsid w:val="14531417"/>
    <w:rsid w:val="14586CC2"/>
    <w:rsid w:val="146B79A0"/>
    <w:rsid w:val="146F049A"/>
    <w:rsid w:val="14952C56"/>
    <w:rsid w:val="14B000CE"/>
    <w:rsid w:val="14C152C3"/>
    <w:rsid w:val="14D97036"/>
    <w:rsid w:val="1531727E"/>
    <w:rsid w:val="15347A2D"/>
    <w:rsid w:val="153D53E9"/>
    <w:rsid w:val="155963A5"/>
    <w:rsid w:val="158151BE"/>
    <w:rsid w:val="15821EB1"/>
    <w:rsid w:val="15865B9F"/>
    <w:rsid w:val="15884D42"/>
    <w:rsid w:val="158D7CC3"/>
    <w:rsid w:val="15C567B3"/>
    <w:rsid w:val="15CB6B92"/>
    <w:rsid w:val="15E33750"/>
    <w:rsid w:val="15E42778"/>
    <w:rsid w:val="15E54C58"/>
    <w:rsid w:val="15E87AE7"/>
    <w:rsid w:val="15F53F15"/>
    <w:rsid w:val="1611219B"/>
    <w:rsid w:val="16275F45"/>
    <w:rsid w:val="16282735"/>
    <w:rsid w:val="162C67F7"/>
    <w:rsid w:val="16334B38"/>
    <w:rsid w:val="16353D90"/>
    <w:rsid w:val="163E504A"/>
    <w:rsid w:val="16412E07"/>
    <w:rsid w:val="16415343"/>
    <w:rsid w:val="166B3C93"/>
    <w:rsid w:val="16CF1D38"/>
    <w:rsid w:val="16D23D2B"/>
    <w:rsid w:val="16DA2545"/>
    <w:rsid w:val="16E67E52"/>
    <w:rsid w:val="1710209D"/>
    <w:rsid w:val="17121C38"/>
    <w:rsid w:val="171778FA"/>
    <w:rsid w:val="174823D1"/>
    <w:rsid w:val="17940C6E"/>
    <w:rsid w:val="17B22736"/>
    <w:rsid w:val="17C97DC9"/>
    <w:rsid w:val="17E5288E"/>
    <w:rsid w:val="17F311D1"/>
    <w:rsid w:val="180937BC"/>
    <w:rsid w:val="181B69E1"/>
    <w:rsid w:val="18354259"/>
    <w:rsid w:val="187113A9"/>
    <w:rsid w:val="18712011"/>
    <w:rsid w:val="18807E1A"/>
    <w:rsid w:val="18903088"/>
    <w:rsid w:val="18A10BEA"/>
    <w:rsid w:val="18A9626A"/>
    <w:rsid w:val="18BC0DDB"/>
    <w:rsid w:val="19043E76"/>
    <w:rsid w:val="191A34B2"/>
    <w:rsid w:val="194B6E19"/>
    <w:rsid w:val="197766A8"/>
    <w:rsid w:val="19865EDD"/>
    <w:rsid w:val="198E1845"/>
    <w:rsid w:val="19C75CED"/>
    <w:rsid w:val="1A1255D1"/>
    <w:rsid w:val="1A1532A6"/>
    <w:rsid w:val="1A293FF6"/>
    <w:rsid w:val="1A6A2960"/>
    <w:rsid w:val="1A7B5A5A"/>
    <w:rsid w:val="1A941EDC"/>
    <w:rsid w:val="1AA33244"/>
    <w:rsid w:val="1AC22EE1"/>
    <w:rsid w:val="1AD14975"/>
    <w:rsid w:val="1B1E08E9"/>
    <w:rsid w:val="1B1F6993"/>
    <w:rsid w:val="1B704583"/>
    <w:rsid w:val="1B8A46A0"/>
    <w:rsid w:val="1BC731E1"/>
    <w:rsid w:val="1BEF6E49"/>
    <w:rsid w:val="1C082AA1"/>
    <w:rsid w:val="1C267F6F"/>
    <w:rsid w:val="1C667730"/>
    <w:rsid w:val="1C67200D"/>
    <w:rsid w:val="1C6B39E9"/>
    <w:rsid w:val="1C6B7691"/>
    <w:rsid w:val="1C926C9B"/>
    <w:rsid w:val="1CF13D72"/>
    <w:rsid w:val="1CF9165A"/>
    <w:rsid w:val="1D1B06F3"/>
    <w:rsid w:val="1D2C278E"/>
    <w:rsid w:val="1D2C32DC"/>
    <w:rsid w:val="1D3F2F3E"/>
    <w:rsid w:val="1D620095"/>
    <w:rsid w:val="1DE54043"/>
    <w:rsid w:val="1DEA6950"/>
    <w:rsid w:val="1E2B0824"/>
    <w:rsid w:val="1E3C0EC5"/>
    <w:rsid w:val="1E5C5A60"/>
    <w:rsid w:val="1E7B4BA9"/>
    <w:rsid w:val="1E947C7A"/>
    <w:rsid w:val="1ECE5B9E"/>
    <w:rsid w:val="1F0B0259"/>
    <w:rsid w:val="1F1024A4"/>
    <w:rsid w:val="1F357662"/>
    <w:rsid w:val="1F4E49DA"/>
    <w:rsid w:val="1F736761"/>
    <w:rsid w:val="1FC841C2"/>
    <w:rsid w:val="1FD523D8"/>
    <w:rsid w:val="1FD953F0"/>
    <w:rsid w:val="1FED4C12"/>
    <w:rsid w:val="20624CB8"/>
    <w:rsid w:val="20770E1C"/>
    <w:rsid w:val="207E5724"/>
    <w:rsid w:val="20A42382"/>
    <w:rsid w:val="20D5530C"/>
    <w:rsid w:val="20D556C2"/>
    <w:rsid w:val="20E2501B"/>
    <w:rsid w:val="20E6732C"/>
    <w:rsid w:val="21197035"/>
    <w:rsid w:val="21311AAD"/>
    <w:rsid w:val="213F6644"/>
    <w:rsid w:val="21592B5B"/>
    <w:rsid w:val="217025CD"/>
    <w:rsid w:val="21B622E1"/>
    <w:rsid w:val="220C4015"/>
    <w:rsid w:val="2218479A"/>
    <w:rsid w:val="22512629"/>
    <w:rsid w:val="22A161FC"/>
    <w:rsid w:val="22A76A91"/>
    <w:rsid w:val="22AF217B"/>
    <w:rsid w:val="22B5081D"/>
    <w:rsid w:val="231D4927"/>
    <w:rsid w:val="23224918"/>
    <w:rsid w:val="23293283"/>
    <w:rsid w:val="23372DF6"/>
    <w:rsid w:val="2361198A"/>
    <w:rsid w:val="237B3F30"/>
    <w:rsid w:val="23B046E3"/>
    <w:rsid w:val="23C4740B"/>
    <w:rsid w:val="2422447A"/>
    <w:rsid w:val="24535C24"/>
    <w:rsid w:val="246A2399"/>
    <w:rsid w:val="2476318B"/>
    <w:rsid w:val="2478383B"/>
    <w:rsid w:val="24894416"/>
    <w:rsid w:val="2496217E"/>
    <w:rsid w:val="249A4FCB"/>
    <w:rsid w:val="249A5EE5"/>
    <w:rsid w:val="24DD523C"/>
    <w:rsid w:val="24FA4D84"/>
    <w:rsid w:val="25216851"/>
    <w:rsid w:val="25267CDA"/>
    <w:rsid w:val="253F67D8"/>
    <w:rsid w:val="2576536E"/>
    <w:rsid w:val="25AD1F3F"/>
    <w:rsid w:val="25B6113F"/>
    <w:rsid w:val="25DB44CE"/>
    <w:rsid w:val="261702BC"/>
    <w:rsid w:val="265C0A16"/>
    <w:rsid w:val="26611BC4"/>
    <w:rsid w:val="266D74B0"/>
    <w:rsid w:val="26A93A27"/>
    <w:rsid w:val="26B030CA"/>
    <w:rsid w:val="26C4644D"/>
    <w:rsid w:val="26EA58B3"/>
    <w:rsid w:val="26FC52B4"/>
    <w:rsid w:val="27121359"/>
    <w:rsid w:val="271824CB"/>
    <w:rsid w:val="272A68B0"/>
    <w:rsid w:val="2737596C"/>
    <w:rsid w:val="274A3E83"/>
    <w:rsid w:val="278A2BEE"/>
    <w:rsid w:val="279E5D0B"/>
    <w:rsid w:val="27C842E8"/>
    <w:rsid w:val="27E85303"/>
    <w:rsid w:val="280148EF"/>
    <w:rsid w:val="2823680A"/>
    <w:rsid w:val="286A614E"/>
    <w:rsid w:val="28712E5F"/>
    <w:rsid w:val="287E726A"/>
    <w:rsid w:val="28830216"/>
    <w:rsid w:val="28B87714"/>
    <w:rsid w:val="28D450B1"/>
    <w:rsid w:val="28D476F1"/>
    <w:rsid w:val="28DF75BC"/>
    <w:rsid w:val="28F93993"/>
    <w:rsid w:val="29146C34"/>
    <w:rsid w:val="293D49BC"/>
    <w:rsid w:val="29634F38"/>
    <w:rsid w:val="298871EA"/>
    <w:rsid w:val="29A75EDA"/>
    <w:rsid w:val="29CF5A0C"/>
    <w:rsid w:val="2A105C24"/>
    <w:rsid w:val="2A137F80"/>
    <w:rsid w:val="2A264554"/>
    <w:rsid w:val="2A34364E"/>
    <w:rsid w:val="2A482343"/>
    <w:rsid w:val="2A4B2BF2"/>
    <w:rsid w:val="2A9C5BF3"/>
    <w:rsid w:val="2AAE6172"/>
    <w:rsid w:val="2ABC0EA6"/>
    <w:rsid w:val="2AC1528A"/>
    <w:rsid w:val="2AEF59C9"/>
    <w:rsid w:val="2B2509F0"/>
    <w:rsid w:val="2B544205"/>
    <w:rsid w:val="2B7A3545"/>
    <w:rsid w:val="2B9A0D25"/>
    <w:rsid w:val="2BBC1265"/>
    <w:rsid w:val="2BCA6741"/>
    <w:rsid w:val="2BD513E7"/>
    <w:rsid w:val="2C2027EE"/>
    <w:rsid w:val="2C293476"/>
    <w:rsid w:val="2C577B59"/>
    <w:rsid w:val="2CD415D6"/>
    <w:rsid w:val="2CF01C85"/>
    <w:rsid w:val="2D257EC5"/>
    <w:rsid w:val="2D3928DA"/>
    <w:rsid w:val="2D672FB1"/>
    <w:rsid w:val="2D7805CA"/>
    <w:rsid w:val="2DD72705"/>
    <w:rsid w:val="2DD77D5C"/>
    <w:rsid w:val="2DDA2958"/>
    <w:rsid w:val="2DDF5E1C"/>
    <w:rsid w:val="2DE83966"/>
    <w:rsid w:val="2E1A031B"/>
    <w:rsid w:val="2E744E6F"/>
    <w:rsid w:val="2E846DD7"/>
    <w:rsid w:val="2E8958FD"/>
    <w:rsid w:val="2E9C4672"/>
    <w:rsid w:val="2EAE4BE7"/>
    <w:rsid w:val="2EAF6737"/>
    <w:rsid w:val="2F197C39"/>
    <w:rsid w:val="2F574DEF"/>
    <w:rsid w:val="2F7677B4"/>
    <w:rsid w:val="2F8D0063"/>
    <w:rsid w:val="2F9E1B5B"/>
    <w:rsid w:val="2FCE1636"/>
    <w:rsid w:val="2FD77AC8"/>
    <w:rsid w:val="300B3FC1"/>
    <w:rsid w:val="300C7282"/>
    <w:rsid w:val="302A2E12"/>
    <w:rsid w:val="304221B9"/>
    <w:rsid w:val="30690F49"/>
    <w:rsid w:val="307E1927"/>
    <w:rsid w:val="30976D54"/>
    <w:rsid w:val="309951F2"/>
    <w:rsid w:val="30B40A88"/>
    <w:rsid w:val="30BC652D"/>
    <w:rsid w:val="30D66143"/>
    <w:rsid w:val="3107432F"/>
    <w:rsid w:val="3157386B"/>
    <w:rsid w:val="315914D8"/>
    <w:rsid w:val="3169124A"/>
    <w:rsid w:val="3174130C"/>
    <w:rsid w:val="319D5511"/>
    <w:rsid w:val="31A0130E"/>
    <w:rsid w:val="31C27234"/>
    <w:rsid w:val="31CC633A"/>
    <w:rsid w:val="31D853A0"/>
    <w:rsid w:val="31DC566D"/>
    <w:rsid w:val="31F3718E"/>
    <w:rsid w:val="31F61133"/>
    <w:rsid w:val="31F67FE1"/>
    <w:rsid w:val="32092280"/>
    <w:rsid w:val="320D452B"/>
    <w:rsid w:val="322B47D0"/>
    <w:rsid w:val="32367595"/>
    <w:rsid w:val="325943E5"/>
    <w:rsid w:val="325E39E1"/>
    <w:rsid w:val="326F55D4"/>
    <w:rsid w:val="32CB04EE"/>
    <w:rsid w:val="32DC5C64"/>
    <w:rsid w:val="331C7887"/>
    <w:rsid w:val="33300FD3"/>
    <w:rsid w:val="3335613B"/>
    <w:rsid w:val="333B03F1"/>
    <w:rsid w:val="33770D8F"/>
    <w:rsid w:val="3388699B"/>
    <w:rsid w:val="338F5465"/>
    <w:rsid w:val="33D42A83"/>
    <w:rsid w:val="33F557AB"/>
    <w:rsid w:val="34012A64"/>
    <w:rsid w:val="341E4084"/>
    <w:rsid w:val="344514E5"/>
    <w:rsid w:val="346B2C3B"/>
    <w:rsid w:val="34755355"/>
    <w:rsid w:val="34773077"/>
    <w:rsid w:val="348762CA"/>
    <w:rsid w:val="348B0224"/>
    <w:rsid w:val="348E01AF"/>
    <w:rsid w:val="34E77E72"/>
    <w:rsid w:val="34FD765D"/>
    <w:rsid w:val="350235DA"/>
    <w:rsid w:val="352D04ED"/>
    <w:rsid w:val="352D391D"/>
    <w:rsid w:val="35802F54"/>
    <w:rsid w:val="35AB34E9"/>
    <w:rsid w:val="35BB0638"/>
    <w:rsid w:val="36191483"/>
    <w:rsid w:val="362F286F"/>
    <w:rsid w:val="363229BA"/>
    <w:rsid w:val="36594C12"/>
    <w:rsid w:val="36597E50"/>
    <w:rsid w:val="367F2A10"/>
    <w:rsid w:val="36AC2889"/>
    <w:rsid w:val="36E351BE"/>
    <w:rsid w:val="36E638BC"/>
    <w:rsid w:val="37173EBB"/>
    <w:rsid w:val="3724470D"/>
    <w:rsid w:val="373000C8"/>
    <w:rsid w:val="37334FCF"/>
    <w:rsid w:val="373F0230"/>
    <w:rsid w:val="379210D2"/>
    <w:rsid w:val="37BC2A8A"/>
    <w:rsid w:val="37D15F4A"/>
    <w:rsid w:val="37E000E6"/>
    <w:rsid w:val="37FA03EC"/>
    <w:rsid w:val="37FD6D21"/>
    <w:rsid w:val="38045137"/>
    <w:rsid w:val="381D108A"/>
    <w:rsid w:val="382579AF"/>
    <w:rsid w:val="3828136B"/>
    <w:rsid w:val="383F6EB2"/>
    <w:rsid w:val="386E3A17"/>
    <w:rsid w:val="38835B49"/>
    <w:rsid w:val="38A407E8"/>
    <w:rsid w:val="38B15CC6"/>
    <w:rsid w:val="38B912B8"/>
    <w:rsid w:val="38C03065"/>
    <w:rsid w:val="38D3091A"/>
    <w:rsid w:val="38D61C61"/>
    <w:rsid w:val="391F484F"/>
    <w:rsid w:val="392F0333"/>
    <w:rsid w:val="393A1B59"/>
    <w:rsid w:val="397676B3"/>
    <w:rsid w:val="397945A3"/>
    <w:rsid w:val="39A9514B"/>
    <w:rsid w:val="39B445F8"/>
    <w:rsid w:val="39EC4065"/>
    <w:rsid w:val="3A125A26"/>
    <w:rsid w:val="3A7A3302"/>
    <w:rsid w:val="3A86750F"/>
    <w:rsid w:val="3A963AF6"/>
    <w:rsid w:val="3AC17F1B"/>
    <w:rsid w:val="3ADA35B5"/>
    <w:rsid w:val="3AE7756D"/>
    <w:rsid w:val="3B002678"/>
    <w:rsid w:val="3B0901F8"/>
    <w:rsid w:val="3B1359DF"/>
    <w:rsid w:val="3B512C10"/>
    <w:rsid w:val="3BA6765A"/>
    <w:rsid w:val="3BF46C81"/>
    <w:rsid w:val="3C0B76F6"/>
    <w:rsid w:val="3C182160"/>
    <w:rsid w:val="3C522CDC"/>
    <w:rsid w:val="3C591260"/>
    <w:rsid w:val="3C7A61AD"/>
    <w:rsid w:val="3CA70F52"/>
    <w:rsid w:val="3CB01213"/>
    <w:rsid w:val="3CE87284"/>
    <w:rsid w:val="3CEE3383"/>
    <w:rsid w:val="3D070937"/>
    <w:rsid w:val="3D3E6754"/>
    <w:rsid w:val="3D7808C2"/>
    <w:rsid w:val="3D957EE1"/>
    <w:rsid w:val="3DEB6923"/>
    <w:rsid w:val="3E280F3E"/>
    <w:rsid w:val="3E3532FF"/>
    <w:rsid w:val="3E5C3E6F"/>
    <w:rsid w:val="3EA617D6"/>
    <w:rsid w:val="3EF4339C"/>
    <w:rsid w:val="3EF713B0"/>
    <w:rsid w:val="3F252AA1"/>
    <w:rsid w:val="3F353FF4"/>
    <w:rsid w:val="3F5019CD"/>
    <w:rsid w:val="3FBA33B9"/>
    <w:rsid w:val="3FBC752A"/>
    <w:rsid w:val="3FEC376C"/>
    <w:rsid w:val="4024142B"/>
    <w:rsid w:val="40286944"/>
    <w:rsid w:val="40396AFC"/>
    <w:rsid w:val="405F6BEE"/>
    <w:rsid w:val="407754CA"/>
    <w:rsid w:val="40802911"/>
    <w:rsid w:val="408A2CDD"/>
    <w:rsid w:val="40965099"/>
    <w:rsid w:val="40B71C23"/>
    <w:rsid w:val="40F61158"/>
    <w:rsid w:val="41260F33"/>
    <w:rsid w:val="412D17FA"/>
    <w:rsid w:val="413A1A23"/>
    <w:rsid w:val="413E4060"/>
    <w:rsid w:val="414D4B83"/>
    <w:rsid w:val="415820F3"/>
    <w:rsid w:val="415F247A"/>
    <w:rsid w:val="42044326"/>
    <w:rsid w:val="42086903"/>
    <w:rsid w:val="42416C4F"/>
    <w:rsid w:val="424507E9"/>
    <w:rsid w:val="42726BCE"/>
    <w:rsid w:val="42A36605"/>
    <w:rsid w:val="42AE761A"/>
    <w:rsid w:val="42BB5FD9"/>
    <w:rsid w:val="42C80323"/>
    <w:rsid w:val="42E7071E"/>
    <w:rsid w:val="42F9412B"/>
    <w:rsid w:val="43064ADF"/>
    <w:rsid w:val="431066F3"/>
    <w:rsid w:val="434026F9"/>
    <w:rsid w:val="43895983"/>
    <w:rsid w:val="439C07D6"/>
    <w:rsid w:val="43D00CAD"/>
    <w:rsid w:val="442842DF"/>
    <w:rsid w:val="44386E01"/>
    <w:rsid w:val="44491CA1"/>
    <w:rsid w:val="44A2453E"/>
    <w:rsid w:val="44C576EA"/>
    <w:rsid w:val="44FA630D"/>
    <w:rsid w:val="45046E2C"/>
    <w:rsid w:val="451B1337"/>
    <w:rsid w:val="453065A2"/>
    <w:rsid w:val="45475340"/>
    <w:rsid w:val="455671F8"/>
    <w:rsid w:val="45567880"/>
    <w:rsid w:val="45730C83"/>
    <w:rsid w:val="45807FA1"/>
    <w:rsid w:val="45CC52CF"/>
    <w:rsid w:val="45D01BDC"/>
    <w:rsid w:val="460129FF"/>
    <w:rsid w:val="4617367A"/>
    <w:rsid w:val="46301DB8"/>
    <w:rsid w:val="46340DA9"/>
    <w:rsid w:val="463B3E0D"/>
    <w:rsid w:val="4663064E"/>
    <w:rsid w:val="468F0BE3"/>
    <w:rsid w:val="46A77EE5"/>
    <w:rsid w:val="46B06164"/>
    <w:rsid w:val="46DD6913"/>
    <w:rsid w:val="47531A84"/>
    <w:rsid w:val="476E2788"/>
    <w:rsid w:val="478F2CCC"/>
    <w:rsid w:val="479B7E48"/>
    <w:rsid w:val="47E20A62"/>
    <w:rsid w:val="47E336A3"/>
    <w:rsid w:val="47F647C6"/>
    <w:rsid w:val="4881582C"/>
    <w:rsid w:val="48825AF9"/>
    <w:rsid w:val="4886746D"/>
    <w:rsid w:val="48BE43A2"/>
    <w:rsid w:val="48C25448"/>
    <w:rsid w:val="490226DE"/>
    <w:rsid w:val="490751DE"/>
    <w:rsid w:val="49092AA1"/>
    <w:rsid w:val="492D61FA"/>
    <w:rsid w:val="49481288"/>
    <w:rsid w:val="495E3761"/>
    <w:rsid w:val="4968332E"/>
    <w:rsid w:val="496C2287"/>
    <w:rsid w:val="499A2F70"/>
    <w:rsid w:val="49A32613"/>
    <w:rsid w:val="49A90176"/>
    <w:rsid w:val="49EE59A7"/>
    <w:rsid w:val="49F53A83"/>
    <w:rsid w:val="4A094A06"/>
    <w:rsid w:val="4A2B6D51"/>
    <w:rsid w:val="4A556D33"/>
    <w:rsid w:val="4AD0118D"/>
    <w:rsid w:val="4AEE70CD"/>
    <w:rsid w:val="4B0B026E"/>
    <w:rsid w:val="4B14344C"/>
    <w:rsid w:val="4B2B3AE6"/>
    <w:rsid w:val="4B5A7BF6"/>
    <w:rsid w:val="4B656689"/>
    <w:rsid w:val="4B7D1CDE"/>
    <w:rsid w:val="4B825C53"/>
    <w:rsid w:val="4BB62C1F"/>
    <w:rsid w:val="4BD81D22"/>
    <w:rsid w:val="4BD82456"/>
    <w:rsid w:val="4BE741CF"/>
    <w:rsid w:val="4C3D641B"/>
    <w:rsid w:val="4C4F6095"/>
    <w:rsid w:val="4C6E2336"/>
    <w:rsid w:val="4CB90B78"/>
    <w:rsid w:val="4CD536D9"/>
    <w:rsid w:val="4CFF53B0"/>
    <w:rsid w:val="4D066A9D"/>
    <w:rsid w:val="4D0C077D"/>
    <w:rsid w:val="4D1833AB"/>
    <w:rsid w:val="4D2B200A"/>
    <w:rsid w:val="4D2E4FB7"/>
    <w:rsid w:val="4D3C473C"/>
    <w:rsid w:val="4D461ABB"/>
    <w:rsid w:val="4D5B0481"/>
    <w:rsid w:val="4D637DC0"/>
    <w:rsid w:val="4D7E33E4"/>
    <w:rsid w:val="4DA8058F"/>
    <w:rsid w:val="4DD810C4"/>
    <w:rsid w:val="4E07103E"/>
    <w:rsid w:val="4E0E2AB4"/>
    <w:rsid w:val="4E2A5090"/>
    <w:rsid w:val="4E404A97"/>
    <w:rsid w:val="4E4A7BAC"/>
    <w:rsid w:val="4EA65A19"/>
    <w:rsid w:val="4EBD3D37"/>
    <w:rsid w:val="4EDD53C9"/>
    <w:rsid w:val="4EE83F6F"/>
    <w:rsid w:val="4F1A3913"/>
    <w:rsid w:val="4F206778"/>
    <w:rsid w:val="4F7E6D5C"/>
    <w:rsid w:val="4F9D6E4D"/>
    <w:rsid w:val="4FC5777A"/>
    <w:rsid w:val="50114A2B"/>
    <w:rsid w:val="503D1255"/>
    <w:rsid w:val="50C52C47"/>
    <w:rsid w:val="50E9214B"/>
    <w:rsid w:val="51320A78"/>
    <w:rsid w:val="514E0706"/>
    <w:rsid w:val="51580E12"/>
    <w:rsid w:val="515E508E"/>
    <w:rsid w:val="51747923"/>
    <w:rsid w:val="51AD5173"/>
    <w:rsid w:val="51AF6E65"/>
    <w:rsid w:val="51B02ECA"/>
    <w:rsid w:val="51BF1B7A"/>
    <w:rsid w:val="51C93769"/>
    <w:rsid w:val="51D539B8"/>
    <w:rsid w:val="51DA1F29"/>
    <w:rsid w:val="51DA7EE8"/>
    <w:rsid w:val="522E470A"/>
    <w:rsid w:val="523168E7"/>
    <w:rsid w:val="526936C5"/>
    <w:rsid w:val="527A1C7F"/>
    <w:rsid w:val="52BC3C3C"/>
    <w:rsid w:val="52D3395C"/>
    <w:rsid w:val="52E85173"/>
    <w:rsid w:val="53416D38"/>
    <w:rsid w:val="53581FB7"/>
    <w:rsid w:val="538F0452"/>
    <w:rsid w:val="53975967"/>
    <w:rsid w:val="53B7396A"/>
    <w:rsid w:val="53C375B5"/>
    <w:rsid w:val="53C630FF"/>
    <w:rsid w:val="53CA2E27"/>
    <w:rsid w:val="53F356DB"/>
    <w:rsid w:val="53F87C08"/>
    <w:rsid w:val="54020F7E"/>
    <w:rsid w:val="54144A8B"/>
    <w:rsid w:val="5424498F"/>
    <w:rsid w:val="54867E95"/>
    <w:rsid w:val="54B91C72"/>
    <w:rsid w:val="54C2259B"/>
    <w:rsid w:val="5501492F"/>
    <w:rsid w:val="55286426"/>
    <w:rsid w:val="552A3EE2"/>
    <w:rsid w:val="554110FA"/>
    <w:rsid w:val="555128D9"/>
    <w:rsid w:val="55607328"/>
    <w:rsid w:val="55F06B50"/>
    <w:rsid w:val="55FE4088"/>
    <w:rsid w:val="56014766"/>
    <w:rsid w:val="56124DD1"/>
    <w:rsid w:val="561A1AAE"/>
    <w:rsid w:val="562F3EEC"/>
    <w:rsid w:val="56377E0D"/>
    <w:rsid w:val="563E6E92"/>
    <w:rsid w:val="56473A12"/>
    <w:rsid w:val="566139ED"/>
    <w:rsid w:val="56C17DA7"/>
    <w:rsid w:val="56F16F49"/>
    <w:rsid w:val="56F44736"/>
    <w:rsid w:val="56FB1EB7"/>
    <w:rsid w:val="570A3462"/>
    <w:rsid w:val="5729393C"/>
    <w:rsid w:val="574E047F"/>
    <w:rsid w:val="578A210F"/>
    <w:rsid w:val="578B69BD"/>
    <w:rsid w:val="57B50360"/>
    <w:rsid w:val="57C606DD"/>
    <w:rsid w:val="57E66D33"/>
    <w:rsid w:val="58123979"/>
    <w:rsid w:val="58221D5B"/>
    <w:rsid w:val="583125B3"/>
    <w:rsid w:val="58312AA0"/>
    <w:rsid w:val="585E05D1"/>
    <w:rsid w:val="589E18AE"/>
    <w:rsid w:val="58BC7EC1"/>
    <w:rsid w:val="58D2695A"/>
    <w:rsid w:val="595D281C"/>
    <w:rsid w:val="5976088E"/>
    <w:rsid w:val="59A67660"/>
    <w:rsid w:val="59AB05BE"/>
    <w:rsid w:val="5A0314A6"/>
    <w:rsid w:val="5A5B36E5"/>
    <w:rsid w:val="5A876545"/>
    <w:rsid w:val="5A990CBA"/>
    <w:rsid w:val="5AC56137"/>
    <w:rsid w:val="5AD14A6A"/>
    <w:rsid w:val="5AD92D99"/>
    <w:rsid w:val="5AF205C3"/>
    <w:rsid w:val="5B4C63C6"/>
    <w:rsid w:val="5BA17263"/>
    <w:rsid w:val="5BBE1B16"/>
    <w:rsid w:val="5BCC4B88"/>
    <w:rsid w:val="5BDD1AA4"/>
    <w:rsid w:val="5BEA361B"/>
    <w:rsid w:val="5C4A3B8C"/>
    <w:rsid w:val="5C6472A7"/>
    <w:rsid w:val="5C9016EE"/>
    <w:rsid w:val="5C9A6C84"/>
    <w:rsid w:val="5CB94DA3"/>
    <w:rsid w:val="5CD01A52"/>
    <w:rsid w:val="5D184757"/>
    <w:rsid w:val="5D5D3835"/>
    <w:rsid w:val="5D5E73B0"/>
    <w:rsid w:val="5D8B78D7"/>
    <w:rsid w:val="5DF84C19"/>
    <w:rsid w:val="5F27208B"/>
    <w:rsid w:val="5F4255B8"/>
    <w:rsid w:val="5F754EA1"/>
    <w:rsid w:val="5F7D248F"/>
    <w:rsid w:val="5F8F3355"/>
    <w:rsid w:val="5F9B3D42"/>
    <w:rsid w:val="5FAB292C"/>
    <w:rsid w:val="5FB12A92"/>
    <w:rsid w:val="5FD34DBB"/>
    <w:rsid w:val="5FFA4D85"/>
    <w:rsid w:val="601E2841"/>
    <w:rsid w:val="605273D8"/>
    <w:rsid w:val="60933BE0"/>
    <w:rsid w:val="60C76E0E"/>
    <w:rsid w:val="61052684"/>
    <w:rsid w:val="612B759C"/>
    <w:rsid w:val="61397BD5"/>
    <w:rsid w:val="61555006"/>
    <w:rsid w:val="61727B6F"/>
    <w:rsid w:val="61C86121"/>
    <w:rsid w:val="61D021AD"/>
    <w:rsid w:val="62101A16"/>
    <w:rsid w:val="622C7EAA"/>
    <w:rsid w:val="623E0182"/>
    <w:rsid w:val="626F3C35"/>
    <w:rsid w:val="62A464BB"/>
    <w:rsid w:val="62C8061E"/>
    <w:rsid w:val="631719A1"/>
    <w:rsid w:val="633659DC"/>
    <w:rsid w:val="63507E18"/>
    <w:rsid w:val="635902AA"/>
    <w:rsid w:val="635C2262"/>
    <w:rsid w:val="63A57116"/>
    <w:rsid w:val="63B67E35"/>
    <w:rsid w:val="640C5D14"/>
    <w:rsid w:val="640F32B2"/>
    <w:rsid w:val="640F6CD1"/>
    <w:rsid w:val="64131A4A"/>
    <w:rsid w:val="6437748E"/>
    <w:rsid w:val="64481832"/>
    <w:rsid w:val="644F76BF"/>
    <w:rsid w:val="64944998"/>
    <w:rsid w:val="64A24E8E"/>
    <w:rsid w:val="64B26789"/>
    <w:rsid w:val="64C26A7A"/>
    <w:rsid w:val="64D51360"/>
    <w:rsid w:val="64DA77FF"/>
    <w:rsid w:val="64E2364E"/>
    <w:rsid w:val="64EE4344"/>
    <w:rsid w:val="65175929"/>
    <w:rsid w:val="651E1B0C"/>
    <w:rsid w:val="654F5E2C"/>
    <w:rsid w:val="6562010D"/>
    <w:rsid w:val="65736495"/>
    <w:rsid w:val="65C04EFC"/>
    <w:rsid w:val="662764B6"/>
    <w:rsid w:val="663C3A73"/>
    <w:rsid w:val="663D21C1"/>
    <w:rsid w:val="663E7757"/>
    <w:rsid w:val="66607133"/>
    <w:rsid w:val="66A9318C"/>
    <w:rsid w:val="66AB7584"/>
    <w:rsid w:val="66C71F16"/>
    <w:rsid w:val="67004BAE"/>
    <w:rsid w:val="673424B4"/>
    <w:rsid w:val="6735502A"/>
    <w:rsid w:val="673D3868"/>
    <w:rsid w:val="675F5872"/>
    <w:rsid w:val="677262B6"/>
    <w:rsid w:val="67996915"/>
    <w:rsid w:val="679F28C5"/>
    <w:rsid w:val="67B12FDE"/>
    <w:rsid w:val="67E81A7D"/>
    <w:rsid w:val="67EC3DA7"/>
    <w:rsid w:val="685F4CA8"/>
    <w:rsid w:val="68687AD0"/>
    <w:rsid w:val="686A6085"/>
    <w:rsid w:val="68A20A89"/>
    <w:rsid w:val="68A92CF9"/>
    <w:rsid w:val="68DA4E8C"/>
    <w:rsid w:val="68E123C5"/>
    <w:rsid w:val="690128F8"/>
    <w:rsid w:val="6934686A"/>
    <w:rsid w:val="69773F76"/>
    <w:rsid w:val="69A83EF5"/>
    <w:rsid w:val="69EC02D6"/>
    <w:rsid w:val="69F27D8C"/>
    <w:rsid w:val="69F6787B"/>
    <w:rsid w:val="6A057251"/>
    <w:rsid w:val="6A081908"/>
    <w:rsid w:val="6A0E092A"/>
    <w:rsid w:val="6A184E23"/>
    <w:rsid w:val="6A1B483C"/>
    <w:rsid w:val="6A334B1C"/>
    <w:rsid w:val="6A6B3801"/>
    <w:rsid w:val="6AA67EE8"/>
    <w:rsid w:val="6AFE5AAB"/>
    <w:rsid w:val="6B1964FD"/>
    <w:rsid w:val="6B1A3FEE"/>
    <w:rsid w:val="6B1E72BE"/>
    <w:rsid w:val="6B4706FC"/>
    <w:rsid w:val="6B687137"/>
    <w:rsid w:val="6B7E4421"/>
    <w:rsid w:val="6B9E626E"/>
    <w:rsid w:val="6BAF2ACC"/>
    <w:rsid w:val="6BBB1E7E"/>
    <w:rsid w:val="6BCF3A11"/>
    <w:rsid w:val="6C764F75"/>
    <w:rsid w:val="6C7B68B3"/>
    <w:rsid w:val="6C851C37"/>
    <w:rsid w:val="6CD71CF5"/>
    <w:rsid w:val="6CE37484"/>
    <w:rsid w:val="6D185F3E"/>
    <w:rsid w:val="6D3A4FDC"/>
    <w:rsid w:val="6D4A1F96"/>
    <w:rsid w:val="6D5C7B7F"/>
    <w:rsid w:val="6D9A2E9A"/>
    <w:rsid w:val="6DA32343"/>
    <w:rsid w:val="6DC00A72"/>
    <w:rsid w:val="6DE91CBE"/>
    <w:rsid w:val="6DF34424"/>
    <w:rsid w:val="6E511319"/>
    <w:rsid w:val="6E6022F1"/>
    <w:rsid w:val="6E67513F"/>
    <w:rsid w:val="6E8C2739"/>
    <w:rsid w:val="6E9378A4"/>
    <w:rsid w:val="6EA05EAF"/>
    <w:rsid w:val="6EA478EF"/>
    <w:rsid w:val="6ECF2993"/>
    <w:rsid w:val="6ED53BA8"/>
    <w:rsid w:val="6EDC3EE4"/>
    <w:rsid w:val="6EF42A91"/>
    <w:rsid w:val="6EFD5B24"/>
    <w:rsid w:val="6F734245"/>
    <w:rsid w:val="6F75342F"/>
    <w:rsid w:val="6F9A7929"/>
    <w:rsid w:val="6F9B53D8"/>
    <w:rsid w:val="6FAD1A9F"/>
    <w:rsid w:val="6FB17C2F"/>
    <w:rsid w:val="6FC47977"/>
    <w:rsid w:val="7033688C"/>
    <w:rsid w:val="703C4174"/>
    <w:rsid w:val="70411015"/>
    <w:rsid w:val="705948AA"/>
    <w:rsid w:val="708A4E1A"/>
    <w:rsid w:val="70910346"/>
    <w:rsid w:val="70C7400D"/>
    <w:rsid w:val="70D02D5E"/>
    <w:rsid w:val="71130B61"/>
    <w:rsid w:val="711E6432"/>
    <w:rsid w:val="71546E30"/>
    <w:rsid w:val="71681466"/>
    <w:rsid w:val="71697E24"/>
    <w:rsid w:val="71A25BFA"/>
    <w:rsid w:val="71C958F6"/>
    <w:rsid w:val="71EA18F3"/>
    <w:rsid w:val="71EB740A"/>
    <w:rsid w:val="71F30FB8"/>
    <w:rsid w:val="71FB1702"/>
    <w:rsid w:val="72240AB2"/>
    <w:rsid w:val="723B6378"/>
    <w:rsid w:val="7240161D"/>
    <w:rsid w:val="7297754F"/>
    <w:rsid w:val="72B51A4B"/>
    <w:rsid w:val="72B83CF5"/>
    <w:rsid w:val="72BF210C"/>
    <w:rsid w:val="72ED1371"/>
    <w:rsid w:val="72FA6660"/>
    <w:rsid w:val="7302045D"/>
    <w:rsid w:val="733A0F88"/>
    <w:rsid w:val="733F43D1"/>
    <w:rsid w:val="734E4C5F"/>
    <w:rsid w:val="73835156"/>
    <w:rsid w:val="738E2164"/>
    <w:rsid w:val="73A16349"/>
    <w:rsid w:val="73AD1D1B"/>
    <w:rsid w:val="73E605AD"/>
    <w:rsid w:val="73F92A78"/>
    <w:rsid w:val="74107FFF"/>
    <w:rsid w:val="743E7813"/>
    <w:rsid w:val="743F78E5"/>
    <w:rsid w:val="743F78F4"/>
    <w:rsid w:val="74494893"/>
    <w:rsid w:val="74787A42"/>
    <w:rsid w:val="74931453"/>
    <w:rsid w:val="74AE4892"/>
    <w:rsid w:val="74B40ED9"/>
    <w:rsid w:val="74CD2BBD"/>
    <w:rsid w:val="74EE38B8"/>
    <w:rsid w:val="75110381"/>
    <w:rsid w:val="752D5284"/>
    <w:rsid w:val="753979EB"/>
    <w:rsid w:val="753F317C"/>
    <w:rsid w:val="755F77AB"/>
    <w:rsid w:val="75602F15"/>
    <w:rsid w:val="75717F58"/>
    <w:rsid w:val="75DE540F"/>
    <w:rsid w:val="75EF10EE"/>
    <w:rsid w:val="76166AE2"/>
    <w:rsid w:val="762E362E"/>
    <w:rsid w:val="76427CDB"/>
    <w:rsid w:val="76501FFB"/>
    <w:rsid w:val="7683569F"/>
    <w:rsid w:val="769654DB"/>
    <w:rsid w:val="76B63F40"/>
    <w:rsid w:val="76C47A60"/>
    <w:rsid w:val="76E558D0"/>
    <w:rsid w:val="776003A6"/>
    <w:rsid w:val="77736421"/>
    <w:rsid w:val="7776059D"/>
    <w:rsid w:val="77795FA9"/>
    <w:rsid w:val="778C3FB6"/>
    <w:rsid w:val="779A1B50"/>
    <w:rsid w:val="77BF7065"/>
    <w:rsid w:val="77E54F2C"/>
    <w:rsid w:val="77FA0948"/>
    <w:rsid w:val="78075DD8"/>
    <w:rsid w:val="780B40F9"/>
    <w:rsid w:val="781B387C"/>
    <w:rsid w:val="784E67DA"/>
    <w:rsid w:val="78670975"/>
    <w:rsid w:val="78741C73"/>
    <w:rsid w:val="78781A23"/>
    <w:rsid w:val="78AE0987"/>
    <w:rsid w:val="78B20631"/>
    <w:rsid w:val="79017A32"/>
    <w:rsid w:val="79264DDF"/>
    <w:rsid w:val="7936587D"/>
    <w:rsid w:val="79653BA0"/>
    <w:rsid w:val="79667753"/>
    <w:rsid w:val="79817065"/>
    <w:rsid w:val="798176B0"/>
    <w:rsid w:val="79C203BB"/>
    <w:rsid w:val="79CF3396"/>
    <w:rsid w:val="7A2934F9"/>
    <w:rsid w:val="7A5443A4"/>
    <w:rsid w:val="7A683EA0"/>
    <w:rsid w:val="7A694019"/>
    <w:rsid w:val="7A81755F"/>
    <w:rsid w:val="7A876266"/>
    <w:rsid w:val="7AA327B7"/>
    <w:rsid w:val="7AEC1145"/>
    <w:rsid w:val="7AEF651F"/>
    <w:rsid w:val="7AFE5967"/>
    <w:rsid w:val="7AFF6BB6"/>
    <w:rsid w:val="7B085A82"/>
    <w:rsid w:val="7B3A3565"/>
    <w:rsid w:val="7B561C6D"/>
    <w:rsid w:val="7B5758D5"/>
    <w:rsid w:val="7B675342"/>
    <w:rsid w:val="7B734EC0"/>
    <w:rsid w:val="7B817740"/>
    <w:rsid w:val="7B940D24"/>
    <w:rsid w:val="7BCB34F0"/>
    <w:rsid w:val="7BDF7F76"/>
    <w:rsid w:val="7C15180C"/>
    <w:rsid w:val="7C1747AA"/>
    <w:rsid w:val="7C853BBC"/>
    <w:rsid w:val="7C8D0B43"/>
    <w:rsid w:val="7CB36363"/>
    <w:rsid w:val="7D024F8D"/>
    <w:rsid w:val="7D2504D3"/>
    <w:rsid w:val="7D5E3581"/>
    <w:rsid w:val="7D8C379D"/>
    <w:rsid w:val="7D954105"/>
    <w:rsid w:val="7DD0348F"/>
    <w:rsid w:val="7E2B175E"/>
    <w:rsid w:val="7E4755AA"/>
    <w:rsid w:val="7E6D0D99"/>
    <w:rsid w:val="7E947E92"/>
    <w:rsid w:val="7EAB4694"/>
    <w:rsid w:val="7EBF5589"/>
    <w:rsid w:val="7EE87CB6"/>
    <w:rsid w:val="7F280D0F"/>
    <w:rsid w:val="7F4255A2"/>
    <w:rsid w:val="7F730F4A"/>
    <w:rsid w:val="7F7D5B61"/>
    <w:rsid w:val="7FB21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8"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3"/>
    <w:next w:val="1"/>
    <w:link w:val="27"/>
    <w:qFormat/>
    <w:uiPriority w:val="0"/>
    <w:pPr>
      <w:keepNext/>
      <w:keepLines/>
      <w:spacing w:before="340" w:after="330" w:line="578" w:lineRule="auto"/>
      <w:outlineLvl w:val="0"/>
    </w:pPr>
    <w:rPr>
      <w:rFonts w:eastAsia="Times New Roman" w:cs="Times New Roman"/>
      <w:kern w:val="44"/>
      <w:sz w:val="44"/>
      <w:szCs w:val="44"/>
    </w:rPr>
  </w:style>
  <w:style w:type="paragraph" w:styleId="4">
    <w:name w:val="heading 2"/>
    <w:basedOn w:val="2"/>
    <w:next w:val="1"/>
    <w:unhideWhenUsed/>
    <w:qFormat/>
    <w:uiPriority w:val="0"/>
    <w:pPr>
      <w:outlineLvl w:val="1"/>
    </w:pPr>
    <w:rPr>
      <w:sz w:val="28"/>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8"/>
    <w:qFormat/>
    <w:uiPriority w:val="0"/>
    <w:pPr>
      <w:widowControl w:val="0"/>
      <w:adjustRightInd/>
      <w:snapToGrid/>
      <w:spacing w:after="0"/>
      <w:ind w:firstLine="420" w:firstLineChars="200"/>
      <w:jc w:val="both"/>
    </w:pPr>
    <w:rPr>
      <w:rFonts w:eastAsia="宋体" w:asciiTheme="minorHAnsi" w:hAnsiTheme="minorHAnsi"/>
      <w:kern w:val="2"/>
      <w:sz w:val="21"/>
      <w:szCs w:val="24"/>
    </w:rPr>
  </w:style>
  <w:style w:type="paragraph" w:customStyle="1" w:styleId="6">
    <w:name w:val="样式 正文文本 + 首行缩进:  2 字符"/>
    <w:basedOn w:val="7"/>
    <w:qFormat/>
    <w:uiPriority w:val="99"/>
    <w:pPr>
      <w:spacing w:after="200" w:line="480" w:lineRule="exact"/>
      <w:ind w:firstLine="480" w:firstLineChars="200"/>
    </w:pPr>
    <w:rPr>
      <w:rFonts w:ascii="宋体" w:hAnsi="宋体" w:eastAsia="宋体" w:cs="Times New Roman"/>
      <w:sz w:val="24"/>
      <w:lang w:val="en-US" w:eastAsia="zh-CN" w:bidi="ar-SA"/>
    </w:rPr>
  </w:style>
  <w:style w:type="paragraph" w:styleId="7">
    <w:name w:val="Body Text"/>
    <w:basedOn w:val="1"/>
    <w:next w:val="8"/>
    <w:link w:val="43"/>
    <w:qFormat/>
    <w:uiPriority w:val="0"/>
    <w:pPr>
      <w:widowControl w:val="0"/>
      <w:adjustRightInd/>
      <w:snapToGrid/>
      <w:spacing w:after="0"/>
    </w:pPr>
    <w:rPr>
      <w:rFonts w:ascii="Times New Roman" w:hAnsi="Times New Roman" w:eastAsia="宋体" w:cs="Times New Roman"/>
      <w:kern w:val="2"/>
      <w:sz w:val="28"/>
      <w:szCs w:val="20"/>
    </w:rPr>
  </w:style>
  <w:style w:type="paragraph" w:customStyle="1" w:styleId="8">
    <w:name w:val="style4"/>
    <w:basedOn w:val="1"/>
    <w:next w:val="9"/>
    <w:qFormat/>
    <w:uiPriority w:val="0"/>
    <w:pPr>
      <w:widowControl/>
      <w:spacing w:before="280" w:after="280"/>
    </w:pPr>
    <w:rPr>
      <w:rFonts w:ascii="宋体"/>
      <w:sz w:val="18"/>
    </w:rPr>
  </w:style>
  <w:style w:type="paragraph" w:customStyle="1" w:styleId="9">
    <w:name w:val="2"/>
    <w:basedOn w:val="1"/>
    <w:next w:val="10"/>
    <w:qFormat/>
    <w:uiPriority w:val="0"/>
    <w:pPr>
      <w:snapToGrid w:val="0"/>
      <w:spacing w:line="360" w:lineRule="auto"/>
      <w:ind w:firstLine="529" w:firstLineChars="200"/>
    </w:pPr>
    <w:rPr>
      <w:kern w:val="2"/>
      <w:sz w:val="21"/>
    </w:rPr>
  </w:style>
  <w:style w:type="paragraph" w:styleId="10">
    <w:name w:val="Normal (Web)"/>
    <w:basedOn w:val="1"/>
    <w:qFormat/>
    <w:uiPriority w:val="0"/>
    <w:pPr>
      <w:adjustRightInd/>
      <w:snapToGrid/>
      <w:spacing w:before="100" w:beforeAutospacing="1" w:after="100" w:afterAutospacing="1"/>
    </w:pPr>
    <w:rPr>
      <w:rFonts w:ascii="宋体" w:hAnsi="宋体" w:eastAsia="宋体" w:cs="宋体"/>
      <w:sz w:val="24"/>
      <w:szCs w:val="24"/>
    </w:rPr>
  </w:style>
  <w:style w:type="paragraph" w:styleId="11">
    <w:name w:val="caption"/>
    <w:basedOn w:val="1"/>
    <w:next w:val="1"/>
    <w:unhideWhenUsed/>
    <w:qFormat/>
    <w:uiPriority w:val="35"/>
    <w:pPr>
      <w:spacing w:after="0" w:line="360" w:lineRule="auto"/>
      <w:jc w:val="center"/>
    </w:pPr>
    <w:rPr>
      <w:rFonts w:ascii="Times New Roman" w:hAnsi="Times New Roman" w:eastAsia="宋体" w:cstheme="majorBidi"/>
      <w:b/>
      <w:sz w:val="24"/>
      <w:szCs w:val="20"/>
    </w:rPr>
  </w:style>
  <w:style w:type="paragraph" w:styleId="12">
    <w:name w:val="Body Text Indent"/>
    <w:basedOn w:val="1"/>
    <w:qFormat/>
    <w:uiPriority w:val="0"/>
    <w:pPr>
      <w:spacing w:before="240" w:beforeLines="0"/>
      <w:ind w:firstLine="570"/>
    </w:pPr>
    <w:rPr>
      <w:sz w:val="28"/>
    </w:rPr>
  </w:style>
  <w:style w:type="paragraph" w:styleId="13">
    <w:name w:val="Balloon Text"/>
    <w:basedOn w:val="1"/>
    <w:link w:val="30"/>
    <w:semiHidden/>
    <w:unhideWhenUsed/>
    <w:qFormat/>
    <w:uiPriority w:val="99"/>
    <w:pPr>
      <w:spacing w:after="0"/>
    </w:pPr>
    <w:rPr>
      <w:sz w:val="18"/>
      <w:szCs w:val="18"/>
    </w:rPr>
  </w:style>
  <w:style w:type="paragraph" w:styleId="14">
    <w:name w:val="footer"/>
    <w:basedOn w:val="1"/>
    <w:link w:val="29"/>
    <w:unhideWhenUsed/>
    <w:qFormat/>
    <w:uiPriority w:val="99"/>
    <w:pPr>
      <w:tabs>
        <w:tab w:val="center" w:pos="4153"/>
        <w:tab w:val="right" w:pos="8306"/>
      </w:tabs>
    </w:pPr>
    <w:rPr>
      <w:sz w:val="18"/>
      <w:szCs w:val="18"/>
    </w:rPr>
  </w:style>
  <w:style w:type="paragraph" w:styleId="15">
    <w:name w:val="header"/>
    <w:basedOn w:val="1"/>
    <w:link w:val="28"/>
    <w:semiHidden/>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qFormat/>
    <w:uiPriority w:val="0"/>
    <w:pPr>
      <w:widowControl w:val="0"/>
      <w:adjustRightInd/>
      <w:snapToGrid/>
      <w:spacing w:after="0" w:line="280" w:lineRule="exact"/>
      <w:jc w:val="center"/>
    </w:pPr>
    <w:rPr>
      <w:rFonts w:ascii="宋体" w:hAnsi="Times New Roman" w:eastAsia="宋体" w:cs="Times New Roman"/>
      <w:snapToGrid w:val="0"/>
      <w:kern w:val="2"/>
      <w:sz w:val="21"/>
      <w:szCs w:val="24"/>
    </w:rPr>
  </w:style>
  <w:style w:type="paragraph" w:styleId="17">
    <w:name w:val="Body Text Indent 3"/>
    <w:basedOn w:val="1"/>
    <w:qFormat/>
    <w:uiPriority w:val="0"/>
    <w:pPr>
      <w:spacing w:line="360" w:lineRule="auto"/>
      <w:ind w:firstLine="480" w:firstLineChars="200"/>
    </w:pPr>
    <w:rPr>
      <w:sz w:val="24"/>
    </w:rPr>
  </w:style>
  <w:style w:type="paragraph" w:styleId="18">
    <w:name w:val="toc 2"/>
    <w:basedOn w:val="1"/>
    <w:next w:val="1"/>
    <w:unhideWhenUsed/>
    <w:qFormat/>
    <w:uiPriority w:val="0"/>
    <w:pPr>
      <w:widowControl w:val="0"/>
      <w:adjustRightInd/>
      <w:snapToGrid/>
      <w:spacing w:after="0"/>
      <w:ind w:left="280"/>
    </w:pPr>
    <w:rPr>
      <w:rFonts w:ascii="Times New Roman" w:hAnsi="Times New Roman" w:eastAsia="宋体" w:cs="Times New Roman"/>
      <w:smallCaps/>
      <w:kern w:val="2"/>
      <w:sz w:val="20"/>
      <w:szCs w:val="20"/>
    </w:rPr>
  </w:style>
  <w:style w:type="table" w:styleId="20">
    <w:name w:val="Table Grid"/>
    <w:basedOn w:val="19"/>
    <w:qFormat/>
    <w:uiPriority w:val="3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Hyperlink"/>
    <w:basedOn w:val="21"/>
    <w:unhideWhenUsed/>
    <w:qFormat/>
    <w:uiPriority w:val="99"/>
    <w:rPr>
      <w:color w:val="0000FF" w:themeColor="hyperlink"/>
      <w:u w:val="single"/>
      <w14:textFill>
        <w14:solidFill>
          <w14:schemeClr w14:val="hlink"/>
        </w14:solidFill>
      </w14:textFill>
    </w:rPr>
  </w:style>
  <w:style w:type="paragraph" w:customStyle="1" w:styleId="24">
    <w:name w:val="样式 样式 样式 四号 左侧:  1.53 厘米 + 首行缩进:  2 字符 + 居中 左侧:  2 字符 首行缩进:  2..."/>
    <w:basedOn w:val="25"/>
    <w:qFormat/>
    <w:uiPriority w:val="0"/>
    <w:pPr>
      <w:jc w:val="center"/>
    </w:pPr>
  </w:style>
  <w:style w:type="paragraph" w:customStyle="1" w:styleId="25">
    <w:name w:val="样式 样式 四号 左侧:  1.53 厘米 + 首行缩进:  2 字符"/>
    <w:basedOn w:val="26"/>
    <w:qFormat/>
    <w:uiPriority w:val="0"/>
    <w:pPr>
      <w:ind w:left="200" w:leftChars="200"/>
    </w:pPr>
    <w:rPr>
      <w:szCs w:val="20"/>
    </w:rPr>
  </w:style>
  <w:style w:type="paragraph" w:customStyle="1" w:styleId="26">
    <w:name w:val="样式 四号 左侧:  1.53 厘米"/>
    <w:basedOn w:val="1"/>
    <w:qFormat/>
    <w:uiPriority w:val="0"/>
    <w:pPr>
      <w:adjustRightInd w:val="0"/>
    </w:pPr>
    <w:rPr>
      <w:rFonts w:ascii="Calibri" w:hAnsi="Calibri"/>
      <w:w w:val="90"/>
      <w:sz w:val="28"/>
      <w:szCs w:val="28"/>
    </w:rPr>
  </w:style>
  <w:style w:type="character" w:customStyle="1" w:styleId="27">
    <w:name w:val="标题 1 Char"/>
    <w:basedOn w:val="21"/>
    <w:link w:val="2"/>
    <w:qFormat/>
    <w:uiPriority w:val="0"/>
    <w:rPr>
      <w:rFonts w:ascii="Tahoma" w:hAnsi="Tahoma" w:eastAsia="Times New Roman" w:cs="Times New Roman"/>
      <w:b/>
      <w:bCs/>
      <w:kern w:val="44"/>
      <w:sz w:val="44"/>
      <w:szCs w:val="44"/>
    </w:rPr>
  </w:style>
  <w:style w:type="character" w:customStyle="1" w:styleId="28">
    <w:name w:val="页眉 Char"/>
    <w:basedOn w:val="21"/>
    <w:link w:val="15"/>
    <w:semiHidden/>
    <w:qFormat/>
    <w:uiPriority w:val="99"/>
    <w:rPr>
      <w:rFonts w:ascii="Tahoma" w:hAnsi="Tahoma"/>
      <w:sz w:val="18"/>
      <w:szCs w:val="18"/>
    </w:rPr>
  </w:style>
  <w:style w:type="character" w:customStyle="1" w:styleId="29">
    <w:name w:val="页脚 Char"/>
    <w:basedOn w:val="21"/>
    <w:link w:val="14"/>
    <w:qFormat/>
    <w:uiPriority w:val="99"/>
    <w:rPr>
      <w:rFonts w:ascii="Tahoma" w:hAnsi="Tahoma"/>
      <w:sz w:val="18"/>
      <w:szCs w:val="18"/>
    </w:rPr>
  </w:style>
  <w:style w:type="character" w:customStyle="1" w:styleId="30">
    <w:name w:val="批注框文本 Char"/>
    <w:basedOn w:val="21"/>
    <w:link w:val="13"/>
    <w:semiHidden/>
    <w:qFormat/>
    <w:uiPriority w:val="99"/>
    <w:rPr>
      <w:rFonts w:ascii="Tahoma" w:hAnsi="Tahoma"/>
      <w:sz w:val="18"/>
      <w:szCs w:val="18"/>
    </w:rPr>
  </w:style>
  <w:style w:type="paragraph" w:styleId="31">
    <w:name w:val="List Paragraph"/>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0"/>
    </w:rPr>
  </w:style>
  <w:style w:type="character" w:customStyle="1" w:styleId="32">
    <w:name w:val="正文内容 Char"/>
    <w:link w:val="33"/>
    <w:qFormat/>
    <w:uiPriority w:val="0"/>
    <w:rPr>
      <w:rFonts w:ascii="宋体"/>
      <w:kern w:val="2"/>
      <w:sz w:val="24"/>
    </w:rPr>
  </w:style>
  <w:style w:type="paragraph" w:customStyle="1" w:styleId="33">
    <w:name w:val="正文内容"/>
    <w:basedOn w:val="1"/>
    <w:link w:val="32"/>
    <w:qFormat/>
    <w:uiPriority w:val="0"/>
    <w:pPr>
      <w:widowControl w:val="0"/>
      <w:adjustRightInd/>
      <w:snapToGrid/>
      <w:spacing w:after="0" w:line="360" w:lineRule="auto"/>
      <w:ind w:firstLine="200" w:firstLineChars="200"/>
      <w:jc w:val="both"/>
    </w:pPr>
    <w:rPr>
      <w:rFonts w:ascii="宋体" w:hAnsiTheme="minorHAnsi"/>
      <w:kern w:val="2"/>
      <w:sz w:val="24"/>
    </w:rPr>
  </w:style>
  <w:style w:type="character" w:customStyle="1" w:styleId="34">
    <w:name w:val="正文1 Char Char"/>
    <w:link w:val="35"/>
    <w:qFormat/>
    <w:uiPriority w:val="0"/>
    <w:rPr>
      <w:rFonts w:eastAsia="宋体"/>
      <w:kern w:val="2"/>
      <w:sz w:val="24"/>
    </w:rPr>
  </w:style>
  <w:style w:type="paragraph" w:customStyle="1" w:styleId="35">
    <w:name w:val="正文1"/>
    <w:basedOn w:val="1"/>
    <w:link w:val="34"/>
    <w:qFormat/>
    <w:uiPriority w:val="0"/>
    <w:pPr>
      <w:widowControl w:val="0"/>
      <w:spacing w:after="0" w:line="480" w:lineRule="exact"/>
      <w:ind w:firstLine="200" w:firstLineChars="200"/>
      <w:jc w:val="both"/>
    </w:pPr>
    <w:rPr>
      <w:rFonts w:eastAsia="宋体" w:asciiTheme="minorHAnsi" w:hAnsiTheme="minorHAnsi"/>
      <w:kern w:val="2"/>
      <w:sz w:val="24"/>
    </w:rPr>
  </w:style>
  <w:style w:type="paragraph" w:customStyle="1" w:styleId="36">
    <w:name w:val="p15"/>
    <w:basedOn w:val="1"/>
    <w:qFormat/>
    <w:uiPriority w:val="0"/>
    <w:pPr>
      <w:adjustRightInd/>
      <w:snapToGrid/>
      <w:spacing w:after="0"/>
      <w:jc w:val="both"/>
    </w:pPr>
    <w:rPr>
      <w:rFonts w:ascii="Times New Roman" w:hAnsi="Times New Roman" w:eastAsia="宋体" w:cs="Times New Roman"/>
      <w:sz w:val="21"/>
      <w:szCs w:val="21"/>
    </w:rPr>
  </w:style>
  <w:style w:type="paragraph" w:customStyle="1" w:styleId="37">
    <w:name w:val="p0"/>
    <w:basedOn w:val="1"/>
    <w:qFormat/>
    <w:uiPriority w:val="0"/>
    <w:pPr>
      <w:adjustRightInd/>
      <w:snapToGrid/>
      <w:spacing w:after="0"/>
      <w:jc w:val="both"/>
    </w:pPr>
    <w:rPr>
      <w:rFonts w:ascii="Times New Roman" w:hAnsi="Times New Roman" w:eastAsia="宋体" w:cs="Times New Roman"/>
      <w:sz w:val="21"/>
      <w:szCs w:val="21"/>
    </w:rPr>
  </w:style>
  <w:style w:type="character" w:customStyle="1" w:styleId="38">
    <w:name w:val="正文缩进 Char"/>
    <w:basedOn w:val="21"/>
    <w:link w:val="5"/>
    <w:qFormat/>
    <w:uiPriority w:val="0"/>
    <w:rPr>
      <w:rFonts w:eastAsia="宋体"/>
      <w:kern w:val="2"/>
      <w:sz w:val="21"/>
      <w:szCs w:val="24"/>
    </w:rPr>
  </w:style>
  <w:style w:type="character" w:customStyle="1" w:styleId="39">
    <w:name w:val="表内容@ Char"/>
    <w:link w:val="40"/>
    <w:qFormat/>
    <w:uiPriority w:val="0"/>
    <w:rPr>
      <w:rFonts w:ascii="宋体" w:hAnsi="宋体" w:cs="Arial"/>
      <w:kern w:val="2"/>
      <w:sz w:val="24"/>
      <w:szCs w:val="21"/>
    </w:rPr>
  </w:style>
  <w:style w:type="paragraph" w:customStyle="1" w:styleId="40">
    <w:name w:val="表内容@"/>
    <w:basedOn w:val="1"/>
    <w:link w:val="39"/>
    <w:qFormat/>
    <w:uiPriority w:val="0"/>
    <w:pPr>
      <w:widowControl w:val="0"/>
      <w:snapToGrid/>
      <w:spacing w:after="0"/>
      <w:jc w:val="center"/>
    </w:pPr>
    <w:rPr>
      <w:rFonts w:ascii="宋体" w:hAnsi="宋体" w:cs="Arial"/>
      <w:kern w:val="2"/>
      <w:sz w:val="24"/>
      <w:szCs w:val="21"/>
    </w:rPr>
  </w:style>
  <w:style w:type="character" w:customStyle="1" w:styleId="41">
    <w:name w:val="正文（首行缩进两字） Char Char Char Char1 Char"/>
    <w:qFormat/>
    <w:uiPriority w:val="0"/>
    <w:rPr>
      <w:rFonts w:ascii="Arial" w:hAnsi="Arial" w:eastAsia="宋体"/>
      <w:kern w:val="2"/>
      <w:sz w:val="24"/>
      <w:szCs w:val="24"/>
      <w:lang w:val="en-US" w:eastAsia="zh-CN" w:bidi="ar-SA"/>
    </w:rPr>
  </w:style>
  <w:style w:type="paragraph" w:customStyle="1" w:styleId="42">
    <w:name w:val="Char2"/>
    <w:basedOn w:val="1"/>
    <w:qFormat/>
    <w:uiPriority w:val="0"/>
    <w:pPr>
      <w:widowControl w:val="0"/>
      <w:adjustRightInd/>
      <w:snapToGrid/>
      <w:spacing w:after="0"/>
      <w:jc w:val="both"/>
    </w:pPr>
    <w:rPr>
      <w:rFonts w:ascii="宋体" w:hAnsi="宋体" w:eastAsia="宋体" w:cs="Courier New"/>
      <w:kern w:val="2"/>
      <w:sz w:val="32"/>
      <w:szCs w:val="32"/>
    </w:rPr>
  </w:style>
  <w:style w:type="character" w:customStyle="1" w:styleId="43">
    <w:name w:val="正文文本 Char"/>
    <w:basedOn w:val="21"/>
    <w:link w:val="7"/>
    <w:qFormat/>
    <w:uiPriority w:val="0"/>
    <w:rPr>
      <w:rFonts w:ascii="Times New Roman" w:hAnsi="Times New Roman" w:eastAsia="宋体" w:cs="Times New Roman"/>
      <w:kern w:val="2"/>
      <w:sz w:val="28"/>
      <w:szCs w:val="20"/>
    </w:rPr>
  </w:style>
  <w:style w:type="paragraph" w:customStyle="1" w:styleId="44">
    <w:name w:val="p16"/>
    <w:basedOn w:val="1"/>
    <w:qFormat/>
    <w:uiPriority w:val="0"/>
    <w:pPr>
      <w:adjustRightInd/>
      <w:snapToGrid/>
      <w:spacing w:after="0" w:line="360" w:lineRule="auto"/>
      <w:ind w:firstLine="420"/>
      <w:jc w:val="both"/>
    </w:pPr>
    <w:rPr>
      <w:rFonts w:ascii="宋体" w:hAnsi="Times New Roman" w:eastAsia="宋体" w:cs="宋体"/>
      <w:sz w:val="24"/>
      <w:szCs w:val="24"/>
    </w:rPr>
  </w:style>
  <w:style w:type="paragraph" w:customStyle="1" w:styleId="45">
    <w:name w:val="样式 左侧:  0.99 厘米"/>
    <w:basedOn w:val="1"/>
    <w:qFormat/>
    <w:uiPriority w:val="0"/>
    <w:pPr>
      <w:widowControl w:val="0"/>
      <w:adjustRightInd/>
      <w:snapToGrid/>
      <w:spacing w:after="0" w:line="600" w:lineRule="atLeast"/>
    </w:pPr>
    <w:rPr>
      <w:rFonts w:ascii="Calibri" w:hAnsi="Calibri" w:eastAsia="宋体" w:cs="Calibri"/>
      <w:kern w:val="2"/>
      <w:sz w:val="28"/>
      <w:szCs w:val="20"/>
    </w:rPr>
  </w:style>
  <w:style w:type="character" w:customStyle="1" w:styleId="46">
    <w:name w:val="正文内容 Char1"/>
    <w:qFormat/>
    <w:uiPriority w:val="0"/>
    <w:rPr>
      <w:kern w:val="2"/>
      <w:sz w:val="24"/>
      <w:szCs w:val="24"/>
    </w:rPr>
  </w:style>
  <w:style w:type="paragraph" w:customStyle="1" w:styleId="47">
    <w:name w:val="表格文字2"/>
    <w:basedOn w:val="1"/>
    <w:next w:val="33"/>
    <w:qFormat/>
    <w:uiPriority w:val="0"/>
    <w:pPr>
      <w:widowControl w:val="0"/>
      <w:spacing w:after="0"/>
      <w:jc w:val="center"/>
    </w:pPr>
    <w:rPr>
      <w:rFonts w:ascii="Times New Roman" w:hAnsi="Times New Roman" w:eastAsia="宋体" w:cs="Times New Roman"/>
      <w:sz w:val="21"/>
      <w:szCs w:val="21"/>
    </w:rPr>
  </w:style>
  <w:style w:type="paragraph" w:customStyle="1" w:styleId="48">
    <w:name w:val="表中文字"/>
    <w:basedOn w:val="1"/>
    <w:qFormat/>
    <w:uiPriority w:val="0"/>
    <w:pPr>
      <w:widowControl w:val="0"/>
      <w:adjustRightInd/>
      <w:spacing w:after="0"/>
      <w:jc w:val="center"/>
    </w:pPr>
    <w:rPr>
      <w:rFonts w:ascii="Times New Roman" w:hAnsi="Times New Roman" w:eastAsia="宋体" w:cs="Times New Roman"/>
      <w:kern w:val="2"/>
      <w:sz w:val="21"/>
      <w:szCs w:val="20"/>
    </w:rPr>
  </w:style>
  <w:style w:type="paragraph" w:customStyle="1" w:styleId="49">
    <w:name w:val="报告正文"/>
    <w:basedOn w:val="1"/>
    <w:qFormat/>
    <w:uiPriority w:val="0"/>
    <w:pPr>
      <w:ind w:firstLine="480" w:firstLineChars="200"/>
    </w:pPr>
    <w:rPr>
      <w:rFonts w:ascii="宋体" w:hAnsi="宋体"/>
      <w:sz w:val="24"/>
      <w:szCs w:val="20"/>
    </w:rPr>
  </w:style>
  <w:style w:type="paragraph" w:customStyle="1" w:styleId="50">
    <w:name w:val="正文2"/>
    <w:qFormat/>
    <w:uiPriority w:val="0"/>
    <w:pPr>
      <w:widowControl w:val="0"/>
      <w:suppressAutoHyphens/>
      <w:spacing w:line="520" w:lineRule="atLeast"/>
      <w:ind w:firstLine="680"/>
      <w:jc w:val="both"/>
    </w:pPr>
    <w:rPr>
      <w:rFonts w:ascii="Calibri" w:hAnsi="Calibri" w:eastAsia="宋体" w:cs="Times New Roman"/>
      <w:spacing w:val="18"/>
      <w:kern w:val="2"/>
      <w:sz w:val="32"/>
      <w:szCs w:val="22"/>
      <w:lang w:val="en-US" w:eastAsia="zh-CN" w:bidi="ar-SA"/>
    </w:rPr>
  </w:style>
  <w:style w:type="paragraph" w:customStyle="1" w:styleId="51">
    <w:name w:val="表格居中"/>
    <w:qFormat/>
    <w:uiPriority w:val="0"/>
    <w:pPr>
      <w:spacing w:line="440" w:lineRule="exact"/>
      <w:jc w:val="center"/>
    </w:pPr>
    <w:rPr>
      <w:rFonts w:ascii="Times New Roman" w:hAnsi="Times New Roman" w:eastAsia="Times New Roman" w:cs="Times New Roman"/>
      <w:sz w:val="24"/>
      <w:szCs w:val="24"/>
      <w:lang w:val="en-US" w:eastAsia="zh-CN" w:bidi="ar-SA"/>
    </w:rPr>
  </w:style>
  <w:style w:type="paragraph" w:customStyle="1" w:styleId="52">
    <w:name w:val="山焦报告正文"/>
    <w:basedOn w:val="1"/>
    <w:qFormat/>
    <w:uiPriority w:val="0"/>
    <w:pPr>
      <w:adjustRightInd w:val="0"/>
      <w:snapToGrid w:val="0"/>
      <w:spacing w:before="78" w:beforeLines="25" w:line="440" w:lineRule="exact"/>
      <w:ind w:firstLine="200" w:firstLineChars="200"/>
    </w:pPr>
    <w:rPr>
      <w:color w:val="000000"/>
      <w:sz w:val="24"/>
      <w:szCs w:val="24"/>
    </w:rPr>
  </w:style>
  <w:style w:type="paragraph" w:customStyle="1" w:styleId="53">
    <w:name w:val="表内容5"/>
    <w:basedOn w:val="10"/>
    <w:qFormat/>
    <w:uiPriority w:val="0"/>
    <w:pPr>
      <w:spacing w:before="0" w:beforeLines="0" w:beforeAutospacing="0" w:after="0" w:afterLines="0" w:afterAutospacing="0" w:line="240" w:lineRule="auto"/>
      <w:jc w:val="center"/>
    </w:pPr>
    <w:rPr>
      <w:rFonts w:ascii="Times New Roman" w:hAnsi="Times New Roman" w:cs="Times New Roman"/>
      <w:sz w:val="21"/>
      <w:szCs w:val="21"/>
    </w:rPr>
  </w:style>
  <w:style w:type="paragraph" w:customStyle="1" w:styleId="54">
    <w:name w:val="【表中文字】"/>
    <w:basedOn w:val="1"/>
    <w:qFormat/>
    <w:uiPriority w:val="0"/>
    <w:pPr>
      <w:jc w:val="center"/>
    </w:pPr>
    <w:rPr>
      <w:szCs w:val="20"/>
    </w:rPr>
  </w:style>
  <w:style w:type="paragraph" w:customStyle="1" w:styleId="55">
    <w:name w:val="1正文"/>
    <w:basedOn w:val="1"/>
    <w:qFormat/>
    <w:uiPriority w:val="0"/>
    <w:pPr>
      <w:widowControl/>
      <w:spacing w:line="360" w:lineRule="auto"/>
      <w:ind w:firstLine="200" w:firstLineChars="200"/>
    </w:pPr>
    <w:rPr>
      <w:kern w:val="0"/>
      <w:sz w:val="24"/>
      <w:szCs w:val="20"/>
      <w:lang w:val="en-GB"/>
    </w:rPr>
  </w:style>
  <w:style w:type="paragraph" w:customStyle="1" w:styleId="56">
    <w:name w:val="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57">
    <w:name w:val=" 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58">
    <w:name w:val="列出段落1"/>
    <w:basedOn w:val="1"/>
    <w:qFormat/>
    <w:uiPriority w:val="34"/>
    <w:pPr>
      <w:ind w:firstLine="420" w:firstLineChars="200"/>
    </w:pPr>
  </w:style>
  <w:style w:type="paragraph" w:customStyle="1" w:styleId="59">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5.pn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header" Target="header1.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header" Target="header3.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0FE57-449D-432F-81F6-E3A48F639AD6}">
  <ds:schemaRefs/>
</ds:datastoreItem>
</file>

<file path=docProps/app.xml><?xml version="1.0" encoding="utf-8"?>
<Properties xmlns="http://schemas.openxmlformats.org/officeDocument/2006/extended-properties" xmlns:vt="http://schemas.openxmlformats.org/officeDocument/2006/docPropsVTypes">
  <Template>Normal</Template>
  <Pages>30</Pages>
  <Words>2857</Words>
  <Characters>16285</Characters>
  <Lines>135</Lines>
  <Paragraphs>38</Paragraphs>
  <TotalTime>16</TotalTime>
  <ScaleCrop>false</ScaleCrop>
  <LinksUpToDate>false</LinksUpToDate>
  <CharactersWithSpaces>19104</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2018-11-06T07:50:00Z</dcterms:created>
  <dc:creator>Administrator</dc:creator>
  <cp:lastModifiedBy>chenyao</cp:lastModifiedBy>
  <cp:lastPrinted>2021-06-28T06:21:00Z</cp:lastPrinted>
  <dcterms:modified xsi:type="dcterms:W3CDTF">2021-06-30T05:25:02Z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9559370D640A4FE5BBD81EE859769770</vt:lpwstr>
  </property>
  <property fmtid="{D5CDD505-2E9C-101B-9397-08002B2CF9AE}" pid="4" name="KSOSaveFontToCloudKey">
    <vt:lpwstr>272209608_btnclosed</vt:lpwstr>
  </property>
</Properties>
</file>